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Probation Policy</w:t>
      </w:r>
    </w:p>
    <w:p>
      <w:r>
        <w:t xml:space="preserve">Policy code: POL-HR-011. Owner: People Operations. Effective date: 1 June 2024. Applies to: all new employees at Meridian Instruments sites in the United Kingdom, the Netherlands, the United States and Malaysia, including internal transfers between legal entities where local law requires a new probation period.</w:t>
      </w:r>
    </w:p>
    <w:p>
      <w:pPr>
        <w:pStyle w:val="Heading2"/>
      </w:pPr>
      <w:r>
        <w:rPr>
          <w:b/>
          <w:sz w:val="26"/>
        </w:rPr>
        <w:t xml:space="preserve">1. Purpose</w:t>
      </w:r>
    </w:p>
    <w:p>
      <w:r>
        <w:t xml:space="preserve">Probation gives a new employee and their manager a structured period to confirm that the role is a good fit. It sets clear expectations early, provides regular feedback, and allows either party to end employment with shorter notice if it is not working out. This policy sets the standard Meridian approach; local employment law always takes precedence.</w:t>
      </w:r>
    </w:p>
    <w:p>
      <w:pPr>
        <w:pStyle w:val="Heading2"/>
      </w:pPr>
      <w:r>
        <w:rPr>
          <w:b/>
          <w:sz w:val="26"/>
        </w:rPr>
        <w:t xml:space="preserve">2. Probation periods by country</w:t>
      </w:r>
    </w:p>
    <w:tbl>
      <w:tblPr>
        <w:tblStyle w:val="TableGrid"/>
        <w:tblW w:w="0" w:type="auto"/>
      </w:tblPr>
      <w:tr>
        <w:tc>
          <w:tcPr>
            <w:tcW w:w="0" w:type="auto"/>
          </w:tcPr>
          <w:p>
            <w:r>
              <w:rPr>
                <w:b/>
              </w:rPr>
              <w:t xml:space="preserve">Country</w:t>
            </w:r>
          </w:p>
        </w:tc>
        <w:tc>
          <w:tcPr>
            <w:tcW w:w="0" w:type="auto"/>
          </w:tcPr>
          <w:p>
            <w:r>
              <w:rPr>
                <w:b/>
              </w:rPr>
              <w:t xml:space="preserve">Site</w:t>
            </w:r>
          </w:p>
        </w:tc>
        <w:tc>
          <w:tcPr>
            <w:tcW w:w="0" w:type="auto"/>
          </w:tcPr>
          <w:p>
            <w:r>
              <w:rPr>
                <w:b/>
              </w:rPr>
              <w:t xml:space="preserve">Probation length</w:t>
            </w:r>
          </w:p>
        </w:tc>
        <w:tc>
          <w:tcPr>
            <w:tcW w:w="0" w:type="auto"/>
          </w:tcPr>
          <w:p>
            <w:r>
              <w:rPr>
                <w:b/>
              </w:rPr>
              <w:t xml:space="preserve">Extension</w:t>
            </w:r>
          </w:p>
        </w:tc>
      </w:tr>
      <w:tr>
        <w:tc>
          <w:tcPr>
            <w:tcW w:w="0" w:type="auto"/>
          </w:tcPr>
          <w:p>
            <w:r>
              <w:t xml:space="preserve">United Kingdom</w:t>
            </w:r>
          </w:p>
        </w:tc>
        <w:tc>
          <w:tcPr>
            <w:tcW w:w="0" w:type="auto"/>
          </w:tcPr>
          <w:p>
            <w:r>
              <w:t xml:space="preserve">Leeds</w:t>
            </w:r>
          </w:p>
        </w:tc>
        <w:tc>
          <w:tcPr>
            <w:tcW w:w="0" w:type="auto"/>
          </w:tcPr>
          <w:p>
            <w:r>
              <w:t xml:space="preserve">6 months</w:t>
            </w:r>
          </w:p>
        </w:tc>
        <w:tc>
          <w:tcPr>
            <w:tcW w:w="0" w:type="auto"/>
          </w:tcPr>
          <w:p>
            <w:r>
              <w:t xml:space="preserve">Up to 3 months, once</w:t>
            </w:r>
          </w:p>
        </w:tc>
      </w:tr>
      <w:tr>
        <w:tc>
          <w:tcPr>
            <w:tcW w:w="0" w:type="auto"/>
          </w:tcPr>
          <w:p>
            <w:r>
              <w:t xml:space="preserve">Netherlands</w:t>
            </w:r>
          </w:p>
        </w:tc>
        <w:tc>
          <w:tcPr>
            <w:tcW w:w="0" w:type="auto"/>
          </w:tcPr>
          <w:p>
            <w:r>
              <w:t xml:space="preserve">Rotterdam</w:t>
            </w:r>
          </w:p>
        </w:tc>
        <w:tc>
          <w:tcPr>
            <w:tcW w:w="0" w:type="auto"/>
          </w:tcPr>
          <w:p>
            <w:r>
              <w:t xml:space="preserve">2 months</w:t>
            </w:r>
          </w:p>
        </w:tc>
        <w:tc>
          <w:tcPr>
            <w:tcW w:w="0" w:type="auto"/>
          </w:tcPr>
          <w:p>
            <w:r>
              <w:t xml:space="preserve">Not permitted</w:t>
            </w:r>
          </w:p>
        </w:tc>
      </w:tr>
      <w:tr>
        <w:tc>
          <w:tcPr>
            <w:tcW w:w="0" w:type="auto"/>
          </w:tcPr>
          <w:p>
            <w:r>
              <w:t xml:space="preserve">United States</w:t>
            </w:r>
          </w:p>
        </w:tc>
        <w:tc>
          <w:tcPr>
            <w:tcW w:w="0" w:type="auto"/>
          </w:tcPr>
          <w:p>
            <w:r>
              <w:t xml:space="preserve">Austin</w:t>
            </w:r>
          </w:p>
        </w:tc>
        <w:tc>
          <w:tcPr>
            <w:tcW w:w="0" w:type="auto"/>
          </w:tcPr>
          <w:p>
            <w:r>
              <w:t xml:space="preserve">90-day introductory period</w:t>
            </w:r>
          </w:p>
        </w:tc>
        <w:tc>
          <w:tcPr>
            <w:tcW w:w="0" w:type="auto"/>
          </w:tcPr>
          <w:p>
            <w:r>
              <w:t xml:space="preserve">Not normally used</w:t>
            </w:r>
          </w:p>
        </w:tc>
      </w:tr>
      <w:tr>
        <w:tc>
          <w:tcPr>
            <w:tcW w:w="0" w:type="auto"/>
          </w:tcPr>
          <w:p>
            <w:r>
              <w:t xml:space="preserve">Malaysia</w:t>
            </w:r>
          </w:p>
        </w:tc>
        <w:tc>
          <w:tcPr>
            <w:tcW w:w="0" w:type="auto"/>
          </w:tcPr>
          <w:p>
            <w:r>
              <w:t xml:space="preserve">Penang</w:t>
            </w:r>
          </w:p>
        </w:tc>
        <w:tc>
          <w:tcPr>
            <w:tcW w:w="0" w:type="auto"/>
          </w:tcPr>
          <w:p>
            <w:r>
              <w:t xml:space="preserve">3 months</w:t>
            </w:r>
          </w:p>
        </w:tc>
        <w:tc>
          <w:tcPr>
            <w:tcW w:w="0" w:type="auto"/>
          </w:tcPr>
          <w:p>
            <w:r>
              <w:t xml:space="preserve">Up to 3 months</w:t>
            </w:r>
          </w:p>
        </w:tc>
      </w:tr>
    </w:tbl>
    <w:p/>
    <w:p>
      <w:r>
        <w:t xml:space="preserve">In the Netherlands, 2 months is the maximum probation period permitted for permanent contracts under Dutch law, and a probation clause must be included in the written contract to be valid. Fixed-term contracts in the Netherlands of six months or less carry no probation period.</w:t>
      </w:r>
    </w:p>
    <w:p>
      <w:r>
        <w:t xml:space="preserve">In the United States, employment with Meridian Instruments Inc. is at will. The 90-day introductory period is a performance and onboarding framework and does not change at-will status. Benefits eligibility is not linked to completion of the introductory period.</w:t>
      </w:r>
    </w:p>
    <w:p>
      <w:r>
        <w:t xml:space="preserve">In Malaysia, the probation period and any extension must be confirmed in writing to the employee before the original period ends.</w:t>
      </w:r>
    </w:p>
    <w:p>
      <w:pPr>
        <w:pStyle w:val="Heading2"/>
      </w:pPr>
      <w:r>
        <w:rPr>
          <w:b/>
          <w:sz w:val="26"/>
        </w:rPr>
        <w:t xml:space="preserve">3. Review meetings</w:t>
      </w:r>
    </w:p>
    <w:p>
      <w:r>
        <w:t xml:space="preserve">Managers hold structured reviews during probation and record them in Keel at Keel &gt; Team &gt; Probation Reviews. Keel sends reminders to the manager two weeks before each review is due.</w:t>
      </w:r>
    </w:p>
    <w:tbl>
      <w:tblPr>
        <w:tblStyle w:val="TableGrid"/>
        <w:tblW w:w="0" w:type="auto"/>
      </w:tblPr>
      <w:tr>
        <w:tc>
          <w:tcPr>
            <w:tcW w:w="0" w:type="auto"/>
          </w:tcPr>
          <w:p>
            <w:r>
              <w:rPr>
                <w:b/>
              </w:rPr>
              <w:t xml:space="preserve">Country</w:t>
            </w:r>
          </w:p>
        </w:tc>
        <w:tc>
          <w:tcPr>
            <w:tcW w:w="0" w:type="auto"/>
          </w:tcPr>
          <w:p>
            <w:r>
              <w:rPr>
                <w:b/>
              </w:rPr>
              <w:t xml:space="preserve">Review points</w:t>
            </w:r>
          </w:p>
        </w:tc>
      </w:tr>
      <w:tr>
        <w:tc>
          <w:tcPr>
            <w:tcW w:w="0" w:type="auto"/>
          </w:tcPr>
          <w:p>
            <w:r>
              <w:t xml:space="preserve">UK</w:t>
            </w:r>
          </w:p>
        </w:tc>
        <w:tc>
          <w:tcPr>
            <w:tcW w:w="0" w:type="auto"/>
          </w:tcPr>
          <w:p>
            <w:r>
              <w:t xml:space="preserve">End of month 1, month 3 and month 5</w:t>
            </w:r>
          </w:p>
        </w:tc>
      </w:tr>
      <w:tr>
        <w:tc>
          <w:tcPr>
            <w:tcW w:w="0" w:type="auto"/>
          </w:tcPr>
          <w:p>
            <w:r>
              <w:t xml:space="preserve">NL</w:t>
            </w:r>
          </w:p>
        </w:tc>
        <w:tc>
          <w:tcPr>
            <w:tcW w:w="0" w:type="auto"/>
          </w:tcPr>
          <w:p>
            <w:r>
              <w:t xml:space="preserve">End of week 4 and week 7</w:t>
            </w:r>
          </w:p>
        </w:tc>
      </w:tr>
      <w:tr>
        <w:tc>
          <w:tcPr>
            <w:tcW w:w="0" w:type="auto"/>
          </w:tcPr>
          <w:p>
            <w:r>
              <w:t xml:space="preserve">US</w:t>
            </w:r>
          </w:p>
        </w:tc>
        <w:tc>
          <w:tcPr>
            <w:tcW w:w="0" w:type="auto"/>
          </w:tcPr>
          <w:p>
            <w:r>
              <w:t xml:space="preserve">Day 30, day 60 and day 85</w:t>
            </w:r>
          </w:p>
        </w:tc>
      </w:tr>
      <w:tr>
        <w:tc>
          <w:tcPr>
            <w:tcW w:w="0" w:type="auto"/>
          </w:tcPr>
          <w:p>
            <w:r>
              <w:t xml:space="preserve">MY</w:t>
            </w:r>
          </w:p>
        </w:tc>
        <w:tc>
          <w:tcPr>
            <w:tcW w:w="0" w:type="auto"/>
          </w:tcPr>
          <w:p>
            <w:r>
              <w:t xml:space="preserve">End of month 1 and month 2 (plus month 5 if extended)</w:t>
            </w:r>
          </w:p>
        </w:tc>
      </w:tr>
    </w:tbl>
    <w:p/>
    <w:p>
      <w:r>
        <w:t xml:space="preserve">Each review covers progress against the objectives set in the first week, conduct and attendance, completion of mandatory training, and any support the employee needs. The employee can add their own comments in Keel before the review is finalised.</w:t>
      </w:r>
    </w:p>
    <w:p>
      <w:r>
        <w:t xml:space="preserve">The final UK review at month 5 must include a clear recommendation: confirm, extend or end employment. This gives time to act before the six-month point.</w:t>
      </w:r>
    </w:p>
    <w:p>
      <w:pPr>
        <w:pStyle w:val="Heading2"/>
      </w:pPr>
      <w:r>
        <w:rPr>
          <w:b/>
          <w:sz w:val="26"/>
        </w:rPr>
        <w:t xml:space="preserve">4. Extending probation</w:t>
      </w:r>
    </w:p>
    <w:p>
      <w:r>
        <w:t xml:space="preserve">Probation may be extended where performance or attendance has not yet reached the required standard but there is a realistic prospect of improvement, or where significant absence has limited the opportunity to assess performance.</w:t>
      </w:r>
    </w:p>
    <w:p>
      <w:pPr>
        <w:pStyle w:val="ListParagraph"/>
      </w:pPr>
      <w:r>
        <w:t xml:space="preserve">• In the UK, probation may be extended once, by up to 3 months.</w:t>
      </w:r>
    </w:p>
    <w:p>
      <w:pPr>
        <w:pStyle w:val="ListParagraph"/>
      </w:pPr>
      <w:r>
        <w:t xml:space="preserve">• In Malaysia, probation may be extended by up to 3 months.</w:t>
      </w:r>
    </w:p>
    <w:p>
      <w:pPr>
        <w:pStyle w:val="ListParagraph"/>
      </w:pPr>
      <w:r>
        <w:t xml:space="preserve">• Probation cannot be extended in the Netherlands.</w:t>
      </w:r>
    </w:p>
    <w:p>
      <w:r>
        <w:t xml:space="preserve">An extension must be agreed with a People Partner, confirmed in writing before the original end date, and set out the specific improvements required.</w:t>
      </w:r>
    </w:p>
    <w:p>
      <w:pPr>
        <w:pStyle w:val="Heading2"/>
      </w:pPr>
      <w:r>
        <w:rPr>
          <w:b/>
          <w:sz w:val="26"/>
        </w:rPr>
        <w:t xml:space="preserve">5. Outcomes</w:t>
      </w:r>
    </w:p>
    <w:p>
      <w:r>
        <w:t xml:space="preserve">At the end of probation the manager records one of three outcomes in Keel:</w:t>
      </w:r>
    </w:p>
    <w:p>
      <w:pPr>
        <w:pStyle w:val="ListParagraph"/>
      </w:pPr>
      <w:r>
        <w:t xml:space="preserve">1. Confirmed. The employee receives a confirmation letter generated from Keel and moves to normal contractual notice.</w:t>
      </w:r>
    </w:p>
    <w:p>
      <w:pPr>
        <w:pStyle w:val="ListParagraph"/>
      </w:pPr>
      <w:r>
        <w:t xml:space="preserve">2. Extended. See section 4.</w:t>
      </w:r>
    </w:p>
    <w:p>
      <w:pPr>
        <w:pStyle w:val="ListParagraph"/>
      </w:pPr>
      <w:r>
        <w:t xml:space="preserve">3. Not confirmed. Employment ends. A meeting must be held first, the employee may be accompanied by a colleague or trade union representative, and the decision is confirmed in writing with the right of appeal.</w:t>
      </w:r>
    </w:p>
    <w:p>
      <w:r>
        <w:t xml:space="preserve">If no outcome is recorded by the end date, People Operations contacts the manager. Employees are not automatically confirmed in Malaysia; in the UK, employment continues but the manager must still complete the record within 10 working days.</w:t>
      </w:r>
    </w:p>
    <w:p>
      <w:pPr>
        <w:pStyle w:val="Heading2"/>
      </w:pPr>
      <w:r>
        <w:rPr>
          <w:b/>
          <w:sz w:val="26"/>
        </w:rPr>
        <w:t xml:space="preserve">6. Notice during probation</w:t>
      </w:r>
    </w:p>
    <w:p>
      <w:r>
        <w:t xml:space="preserve">Notice periods during probation are shorter than contractual notice after confirmation. In the UK, notice during probation is 1 week on either side. Notice for other countries is set out in the local employment contract. Post-probation notice periods are described in the Employee Handbook (HBK-HR-001).</w:t>
      </w:r>
    </w:p>
    <w:p>
      <w:pPr>
        <w:pStyle w:val="Heading2"/>
      </w:pPr>
      <w:r>
        <w:rPr>
          <w:b/>
          <w:sz w:val="26"/>
        </w:rPr>
        <w:t xml:space="preserve">7. Probation and other policies</w:t>
      </w:r>
    </w:p>
    <w:p>
      <w:pPr>
        <w:pStyle w:val="ListParagraph"/>
      </w:pPr>
      <w:r>
        <w:t xml:space="preserve">• Annual leave accrues normally during probation and may be taken with manager approval.</w:t>
      </w:r>
    </w:p>
    <w:p>
      <w:pPr>
        <w:pStyle w:val="ListParagraph"/>
      </w:pPr>
      <w:r>
        <w:t xml:space="preserve">• Employees in probation are eligible for the Employee Referral Scheme (POL-HR-044), but referral bonuses for the people they refer are paid only once the referred hire passes their own probation.</w:t>
      </w:r>
    </w:p>
    <w:p>
      <w:pPr>
        <w:pStyle w:val="ListParagraph"/>
      </w:pPr>
      <w:r>
        <w:t xml:space="preserve">• Serious misconduct during probation is handled under the Disciplinary and Grievance Procedure (POL-HR-040), although a shortened process may apply.</w:t>
      </w:r>
    </w:p>
    <w:p>
      <w:pPr>
        <w:pStyle w:val="ListParagraph"/>
      </w:pPr>
      <w:r>
        <w:t xml:space="preserve">• Mandatory training listed on form F-101 New Starter Checklist must be completed within the first 30 days and is checked at the first review.</w:t>
      </w:r>
    </w:p>
    <w:p>
      <w:pPr>
        <w:pStyle w:val="Heading2"/>
      </w:pPr>
      <w:r>
        <w:rPr>
          <w:b/>
          <w:sz w:val="26"/>
        </w:rPr>
        <w:t xml:space="preserve">8. Contacts</w:t>
      </w:r>
    </w:p>
    <w:p>
      <w:r>
        <w:t xml:space="preserve">Questions about probation should go to your People Partner or peoplehelp@meridian-instruments.example.</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Probation Policy</dc:title>
  <dc:creator>Meridian Instruments</dc:creator>
</cp:coreProperties>
</file>