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Penang SMT Line Throughput and Capacity, FY26</w:t>
      </w:r>
    </w:p>
    <w:p>
      <w:r>
        <w:t xml:space="preserve">Document ID: mfg-penang-smt-line-throughput. Owner: Penang Manufacturing Engineering (Factory Manager: Nurul Aziz). Issued: 2 May 2025. Applies to fiscal year FY26 (1 April 2025 to 31 March 2026).</w:t>
      </w:r>
    </w:p>
    <w:p>
      <w:pPr>
        <w:pStyle w:val="Heading2"/>
      </w:pPr>
      <w:r>
        <w:rPr>
          <w:b/>
          <w:sz w:val="26"/>
        </w:rPr>
        <w:t xml:space="preserve">Operating pattern</w:t>
      </w:r>
    </w:p>
    <w:p>
      <w:r>
        <w:t xml:space="preserve">The Penang factory runs its four SMT lines (SMT-1 to SMT-4) on three 8-hour shifts, six days a week (Monday to Saturday). Sunday 08:00 to 14:00 MYT is reserved for preventive maintenance and OT system changes. Planned available time is 144 hours per line per week.</w:t>
      </w:r>
    </w:p>
    <w:p>
      <w:pPr>
        <w:pStyle w:val="Heading2"/>
      </w:pPr>
      <w:r>
        <w:rPr>
          <w:b/>
          <w:sz w:val="26"/>
        </w:rPr>
        <w:t xml:space="preserve">Line assignments</w:t>
      </w:r>
    </w:p>
    <w:tbl>
      <w:tblPr>
        <w:tblStyle w:val="TableGrid"/>
        <w:tblW w:w="0" w:type="auto"/>
      </w:tblPr>
      <w:tr>
        <w:tc>
          <w:tcPr>
            <w:tcW w:w="0" w:type="auto"/>
          </w:tcPr>
          <w:p>
            <w:r>
              <w:rPr>
                <w:b/>
              </w:rPr>
              <w:t xml:space="preserve">Line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Primary board family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Secondary board family</w:t>
            </w:r>
          </w:p>
        </w:tc>
      </w:tr>
      <w:tr>
        <w:tc>
          <w:tcPr>
            <w:tcW w:w="0" w:type="auto"/>
          </w:tcPr>
          <w:p>
            <w:r>
              <w:t xml:space="preserve">SMT-1</w:t>
            </w:r>
          </w:p>
        </w:tc>
        <w:tc>
          <w:tcPr>
            <w:tcW w:w="0" w:type="auto"/>
          </w:tcPr>
          <w:p>
            <w:r>
              <w:t xml:space="preserve">HX-MB (Halcyon main board)</w:t>
            </w:r>
          </w:p>
        </w:tc>
        <w:tc>
          <w:tcPr>
            <w:tcW w:w="0" w:type="auto"/>
          </w:tcPr>
          <w:p>
            <w:r>
              <w:t xml:space="preserve">LF60-SB (Lumen sensor board)</w:t>
            </w:r>
          </w:p>
        </w:tc>
      </w:tr>
      <w:tr>
        <w:tc>
          <w:tcPr>
            <w:tcW w:w="0" w:type="auto"/>
          </w:tcPr>
          <w:p>
            <w:r>
              <w:t xml:space="preserve">SMT-2</w:t>
            </w:r>
          </w:p>
        </w:tc>
        <w:tc>
          <w:tcPr>
            <w:tcW w:w="0" w:type="auto"/>
          </w:tcPr>
          <w:p>
            <w:r>
              <w:t xml:space="preserve">HX-MB (Halcyon main board)</w:t>
            </w:r>
          </w:p>
        </w:tc>
        <w:tc>
          <w:tcPr>
            <w:tcW w:w="0" w:type="auto"/>
          </w:tcPr>
          <w:p>
            <w:r>
              <w:t xml:space="preserve">TS4E-EN (TS-4e edge node)</w:t>
            </w:r>
          </w:p>
        </w:tc>
      </w:tr>
      <w:tr>
        <w:tc>
          <w:tcPr>
            <w:tcW w:w="0" w:type="auto"/>
          </w:tcPr>
          <w:p>
            <w:r>
              <w:t xml:space="preserve">SMT-3</w:t>
            </w:r>
          </w:p>
        </w:tc>
        <w:tc>
          <w:tcPr>
            <w:tcW w:w="0" w:type="auto"/>
          </w:tcPr>
          <w:p>
            <w:r>
              <w:t xml:space="preserve">TS4-GW (TS-4 gateway)</w:t>
            </w:r>
          </w:p>
        </w:tc>
        <w:tc>
          <w:tcPr>
            <w:tcW w:w="0" w:type="auto"/>
          </w:tcPr>
          <w:p>
            <w:r>
              <w:t xml:space="preserve">TS4E-EN (TS-4e edge node)</w:t>
            </w:r>
          </w:p>
        </w:tc>
      </w:tr>
      <w:tr>
        <w:tc>
          <w:tcPr>
            <w:tcW w:w="0" w:type="auto"/>
          </w:tcPr>
          <w:p>
            <w:r>
              <w:t xml:space="preserve">SMT-4</w:t>
            </w:r>
          </w:p>
        </w:tc>
        <w:tc>
          <w:tcPr>
            <w:tcW w:w="0" w:type="auto"/>
          </w:tcPr>
          <w:p>
            <w:r>
              <w:t xml:space="preserve">TS4-GW (TS-4 gateway)</w:t>
            </w:r>
          </w:p>
        </w:tc>
        <w:tc>
          <w:tcPr>
            <w:tcW w:w="0" w:type="auto"/>
          </w:tcPr>
          <w:p>
            <w:r>
              <w:t xml:space="preserve">LF60-SB (Lumen sensor board)</w:t>
            </w:r>
          </w:p>
        </w:tc>
      </w:tr>
    </w:tbl>
    <w:p/>
    <w:p>
      <w:pPr>
        <w:pStyle w:val="Heading2"/>
      </w:pPr>
      <w:r>
        <w:rPr>
          <w:b/>
          <w:sz w:val="26"/>
        </w:rPr>
        <w:t xml:space="preserve">Throughput by line and board</w:t>
      </w:r>
    </w:p>
    <w:tbl>
      <w:tblPr>
        <w:tblStyle w:val="TableGrid"/>
        <w:tblW w:w="0" w:type="auto"/>
      </w:tblPr>
      <w:tr>
        <w:tc>
          <w:tcPr>
            <w:tcW w:w="0" w:type="auto"/>
          </w:tcPr>
          <w:p>
            <w:r>
              <w:rPr>
                <w:b/>
              </w:rPr>
              <w:t xml:space="preserve">Line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Board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Boards per panel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Cycle time per panel (s)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Rated boards per hour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FY25 actual average boards per hour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FY25 OEE</w:t>
            </w:r>
          </w:p>
        </w:tc>
      </w:tr>
      <w:tr>
        <w:tc>
          <w:tcPr>
            <w:tcW w:w="0" w:type="auto"/>
          </w:tcPr>
          <w:p>
            <w:r>
              <w:t xml:space="preserve">SMT-1</w:t>
            </w:r>
          </w:p>
        </w:tc>
        <w:tc>
          <w:tcPr>
            <w:tcW w:w="0" w:type="auto"/>
          </w:tcPr>
          <w:p>
            <w:r>
              <w:t xml:space="preserve">HX-MB</w:t>
            </w:r>
          </w:p>
        </w:tc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38</w:t>
            </w:r>
          </w:p>
        </w:tc>
        <w:tc>
          <w:tcPr>
            <w:tcW w:w="0" w:type="auto"/>
          </w:tcPr>
          <w:p>
            <w:r>
              <w:t xml:space="preserve">379</w:t>
            </w:r>
          </w:p>
        </w:tc>
        <w:tc>
          <w:tcPr>
            <w:tcW w:w="0" w:type="auto"/>
          </w:tcPr>
          <w:p>
            <w:r>
              <w:t xml:space="preserve">312</w:t>
            </w:r>
          </w:p>
        </w:tc>
        <w:tc>
          <w:tcPr>
            <w:tcW w:w="0" w:type="auto"/>
          </w:tcPr>
          <w:p>
            <w:r>
              <w:t xml:space="preserve">78%</w:t>
            </w:r>
          </w:p>
        </w:tc>
      </w:tr>
      <w:tr>
        <w:tc>
          <w:tcPr>
            <w:tcW w:w="0" w:type="auto"/>
          </w:tcPr>
          <w:p>
            <w:r>
              <w:t xml:space="preserve">SMT-1</w:t>
            </w:r>
          </w:p>
        </w:tc>
        <w:tc>
          <w:tcPr>
            <w:tcW w:w="0" w:type="auto"/>
          </w:tcPr>
          <w:p>
            <w:r>
              <w:t xml:space="preserve">LF60-SB</w:t>
            </w:r>
          </w:p>
        </w:tc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52</w:t>
            </w:r>
          </w:p>
        </w:tc>
        <w:tc>
          <w:tcPr>
            <w:tcW w:w="0" w:type="auto"/>
          </w:tcPr>
          <w:p>
            <w:r>
              <w:t xml:space="preserve">138</w:t>
            </w:r>
          </w:p>
        </w:tc>
        <w:tc>
          <w:tcPr>
            <w:tcW w:w="0" w:type="auto"/>
          </w:tcPr>
          <w:p>
            <w:r>
              <w:t xml:space="preserve">118</w:t>
            </w:r>
          </w:p>
        </w:tc>
        <w:tc>
          <w:tcPr>
            <w:tcW w:w="0" w:type="auto"/>
          </w:tcPr>
          <w:p>
            <w:r>
              <w:t xml:space="preserve">81%</w:t>
            </w:r>
          </w:p>
        </w:tc>
      </w:tr>
      <w:tr>
        <w:tc>
          <w:tcPr>
            <w:tcW w:w="0" w:type="auto"/>
          </w:tcPr>
          <w:p>
            <w:r>
              <w:t xml:space="preserve">SMT-2</w:t>
            </w:r>
          </w:p>
        </w:tc>
        <w:tc>
          <w:tcPr>
            <w:tcW w:w="0" w:type="auto"/>
          </w:tcPr>
          <w:p>
            <w:r>
              <w:t xml:space="preserve">HX-MB</w:t>
            </w:r>
          </w:p>
        </w:tc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36</w:t>
            </w:r>
          </w:p>
        </w:tc>
        <w:tc>
          <w:tcPr>
            <w:tcW w:w="0" w:type="auto"/>
          </w:tcPr>
          <w:p>
            <w:r>
              <w:t xml:space="preserve">400</w:t>
            </w:r>
          </w:p>
        </w:tc>
        <w:tc>
          <w:tcPr>
            <w:tcW w:w="0" w:type="auto"/>
          </w:tcPr>
          <w:p>
            <w:r>
              <w:t xml:space="preserve">331</w:t>
            </w:r>
          </w:p>
        </w:tc>
        <w:tc>
          <w:tcPr>
            <w:tcW w:w="0" w:type="auto"/>
          </w:tcPr>
          <w:p>
            <w:r>
              <w:t xml:space="preserve">77%</w:t>
            </w:r>
          </w:p>
        </w:tc>
      </w:tr>
      <w:tr>
        <w:tc>
          <w:tcPr>
            <w:tcW w:w="0" w:type="auto"/>
          </w:tcPr>
          <w:p>
            <w:r>
              <w:t xml:space="preserve">SMT-2</w:t>
            </w:r>
          </w:p>
        </w:tc>
        <w:tc>
          <w:tcPr>
            <w:tcW w:w="0" w:type="auto"/>
          </w:tcPr>
          <w:p>
            <w:r>
              <w:t xml:space="preserve">TS4E-EN</w:t>
            </w:r>
          </w:p>
        </w:tc>
        <w:tc>
          <w:tcPr>
            <w:tcW w:w="0" w:type="auto"/>
          </w:tcPr>
          <w:p>
            <w:r>
              <w:t xml:space="preserve">6</w:t>
            </w:r>
          </w:p>
        </w:tc>
        <w:tc>
          <w:tcPr>
            <w:tcW w:w="0" w:type="auto"/>
          </w:tcPr>
          <w:p>
            <w:r>
              <w:t xml:space="preserve">44</w:t>
            </w:r>
          </w:p>
        </w:tc>
        <w:tc>
          <w:tcPr>
            <w:tcW w:w="0" w:type="auto"/>
          </w:tcPr>
          <w:p>
            <w:r>
              <w:t xml:space="preserve">490</w:t>
            </w:r>
          </w:p>
        </w:tc>
        <w:tc>
          <w:tcPr>
            <w:tcW w:w="0" w:type="auto"/>
          </w:tcPr>
          <w:p>
            <w:r>
              <w:t xml:space="preserve">402</w:t>
            </w:r>
          </w:p>
        </w:tc>
        <w:tc>
          <w:tcPr>
            <w:tcW w:w="0" w:type="auto"/>
          </w:tcPr>
          <w:p>
            <w:r>
              <w:t xml:space="preserve">74%</w:t>
            </w:r>
          </w:p>
        </w:tc>
      </w:tr>
      <w:tr>
        <w:tc>
          <w:tcPr>
            <w:tcW w:w="0" w:type="auto"/>
          </w:tcPr>
          <w:p>
            <w:r>
              <w:t xml:space="preserve">SMT-3</w:t>
            </w:r>
          </w:p>
        </w:tc>
        <w:tc>
          <w:tcPr>
            <w:tcW w:w="0" w:type="auto"/>
          </w:tcPr>
          <w:p>
            <w:r>
              <w:t xml:space="preserve">TS4-GW</w:t>
            </w:r>
          </w:p>
        </w:tc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61</w:t>
            </w:r>
          </w:p>
        </w:tc>
        <w:tc>
          <w:tcPr>
            <w:tcW w:w="0" w:type="auto"/>
          </w:tcPr>
          <w:p>
            <w:r>
              <w:t xml:space="preserve">118</w:t>
            </w:r>
          </w:p>
        </w:tc>
        <w:tc>
          <w:tcPr>
            <w:tcW w:w="0" w:type="auto"/>
          </w:tcPr>
          <w:p>
            <w:r>
              <w:t xml:space="preserve">97</w:t>
            </w:r>
          </w:p>
        </w:tc>
        <w:tc>
          <w:tcPr>
            <w:tcW w:w="0" w:type="auto"/>
          </w:tcPr>
          <w:p>
            <w:r>
              <w:t xml:space="preserve">79%</w:t>
            </w:r>
          </w:p>
        </w:tc>
      </w:tr>
      <w:tr>
        <w:tc>
          <w:tcPr>
            <w:tcW w:w="0" w:type="auto"/>
          </w:tcPr>
          <w:p>
            <w:r>
              <w:t xml:space="preserve">SMT-3</w:t>
            </w:r>
          </w:p>
        </w:tc>
        <w:tc>
          <w:tcPr>
            <w:tcW w:w="0" w:type="auto"/>
          </w:tcPr>
          <w:p>
            <w:r>
              <w:t xml:space="preserve">TS4E-EN</w:t>
            </w:r>
          </w:p>
        </w:tc>
        <w:tc>
          <w:tcPr>
            <w:tcW w:w="0" w:type="auto"/>
          </w:tcPr>
          <w:p>
            <w:r>
              <w:t xml:space="preserve">6</w:t>
            </w:r>
          </w:p>
        </w:tc>
        <w:tc>
          <w:tcPr>
            <w:tcW w:w="0" w:type="auto"/>
          </w:tcPr>
          <w:p>
            <w:r>
              <w:t xml:space="preserve">42</w:t>
            </w:r>
          </w:p>
        </w:tc>
        <w:tc>
          <w:tcPr>
            <w:tcW w:w="0" w:type="auto"/>
          </w:tcPr>
          <w:p>
            <w:r>
              <w:t xml:space="preserve">514</w:t>
            </w:r>
          </w:p>
        </w:tc>
        <w:tc>
          <w:tcPr>
            <w:tcW w:w="0" w:type="auto"/>
          </w:tcPr>
          <w:p>
            <w:r>
              <w:t xml:space="preserve">436</w:t>
            </w:r>
          </w:p>
        </w:tc>
        <w:tc>
          <w:tcPr>
            <w:tcW w:w="0" w:type="auto"/>
          </w:tcPr>
          <w:p>
            <w:r>
              <w:t xml:space="preserve">80%</w:t>
            </w:r>
          </w:p>
        </w:tc>
      </w:tr>
      <w:tr>
        <w:tc>
          <w:tcPr>
            <w:tcW w:w="0" w:type="auto"/>
          </w:tcPr>
          <w:p>
            <w:r>
              <w:t xml:space="preserve">SMT-4</w:t>
            </w:r>
          </w:p>
        </w:tc>
        <w:tc>
          <w:tcPr>
            <w:tcW w:w="0" w:type="auto"/>
          </w:tcPr>
          <w:p>
            <w:r>
              <w:t xml:space="preserve">TS4-GW</w:t>
            </w:r>
          </w:p>
        </w:tc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64</w:t>
            </w:r>
          </w:p>
        </w:tc>
        <w:tc>
          <w:tcPr>
            <w:tcW w:w="0" w:type="auto"/>
          </w:tcPr>
          <w:p>
            <w:r>
              <w:t xml:space="preserve">112</w:t>
            </w:r>
          </w:p>
        </w:tc>
        <w:tc>
          <w:tcPr>
            <w:tcW w:w="0" w:type="auto"/>
          </w:tcPr>
          <w:p>
            <w:r>
              <w:t xml:space="preserve">90</w:t>
            </w:r>
          </w:p>
        </w:tc>
        <w:tc>
          <w:tcPr>
            <w:tcW w:w="0" w:type="auto"/>
          </w:tcPr>
          <w:p>
            <w:r>
              <w:t xml:space="preserve">76%</w:t>
            </w:r>
          </w:p>
        </w:tc>
      </w:tr>
      <w:tr>
        <w:tc>
          <w:tcPr>
            <w:tcW w:w="0" w:type="auto"/>
          </w:tcPr>
          <w:p>
            <w:r>
              <w:t xml:space="preserve">SMT-4</w:t>
            </w:r>
          </w:p>
        </w:tc>
        <w:tc>
          <w:tcPr>
            <w:tcW w:w="0" w:type="auto"/>
          </w:tcPr>
          <w:p>
            <w:r>
              <w:t xml:space="preserve">LF60-SB</w:t>
            </w:r>
          </w:p>
        </w:tc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50</w:t>
            </w:r>
          </w:p>
        </w:tc>
        <w:tc>
          <w:tcPr>
            <w:tcW w:w="0" w:type="auto"/>
          </w:tcPr>
          <w:p>
            <w:r>
              <w:t xml:space="preserve">144</w:t>
            </w:r>
          </w:p>
        </w:tc>
        <w:tc>
          <w:tcPr>
            <w:tcW w:w="0" w:type="auto"/>
          </w:tcPr>
          <w:p>
            <w:r>
              <w:t xml:space="preserve">121</w:t>
            </w:r>
          </w:p>
        </w:tc>
        <w:tc>
          <w:tcPr>
            <w:tcW w:w="0" w:type="auto"/>
          </w:tcPr>
          <w:p>
            <w:r>
              <w:t xml:space="preserve">80%</w:t>
            </w:r>
          </w:p>
        </w:tc>
      </w:tr>
    </w:tbl>
    <w:p/>
    <w:p>
      <w:r>
        <w:t xml:space="preserve">SMT-2 FY25 OEE for TS4E-EN includes the line stop for INC-2025-014 in March 2025; excluding that event it was 79%.</w:t>
      </w:r>
    </w:p>
    <w:p>
      <w:pPr>
        <w:pStyle w:val="Heading2"/>
      </w:pPr>
      <w:r>
        <w:rPr>
          <w:b/>
          <w:sz w:val="26"/>
        </w:rPr>
        <w:t xml:space="preserve">FY26 targets</w:t>
      </w:r>
    </w:p>
    <w:tbl>
      <w:tblPr>
        <w:tblStyle w:val="TableGrid"/>
        <w:tblW w:w="0" w:type="auto"/>
      </w:tblPr>
      <w:tr>
        <w:tc>
          <w:tcPr>
            <w:tcW w:w="0" w:type="auto"/>
          </w:tcPr>
          <w:p>
            <w:r>
              <w:rPr>
                <w:b/>
              </w:rPr>
              <w:t xml:space="preserve">Measure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Target</w:t>
            </w:r>
          </w:p>
        </w:tc>
      </w:tr>
      <w:tr>
        <w:tc>
          <w:tcPr>
            <w:tcW w:w="0" w:type="auto"/>
          </w:tcPr>
          <w:p>
            <w:r>
              <w:t xml:space="preserve">OEE, all lines</w:t>
            </w:r>
          </w:p>
        </w:tc>
        <w:tc>
          <w:tcPr>
            <w:tcW w:w="0" w:type="auto"/>
          </w:tcPr>
          <w:p>
            <w:r>
              <w:t xml:space="preserve">80%</w:t>
            </w:r>
          </w:p>
        </w:tc>
      </w:tr>
      <w:tr>
        <w:tc>
          <w:tcPr>
            <w:tcW w:w="0" w:type="auto"/>
          </w:tcPr>
          <w:p>
            <w:r>
              <w:t xml:space="preserve">Changeover time</w:t>
            </w:r>
          </w:p>
        </w:tc>
        <w:tc>
          <w:tcPr>
            <w:tcW w:w="0" w:type="auto"/>
          </w:tcPr>
          <w:p>
            <w:r>
              <w:t xml:space="preserve">25 minutes median (see the Penang SMT Line Changeover Runbook)</w:t>
            </w:r>
          </w:p>
        </w:tc>
      </w:tr>
      <w:tr>
        <w:tc>
          <w:tcPr>
            <w:tcW w:w="0" w:type="auto"/>
          </w:tcPr>
          <w:p>
            <w:r>
              <w:t xml:space="preserve">First-pass yield after AOI</w:t>
            </w:r>
          </w:p>
        </w:tc>
        <w:tc>
          <w:tcPr>
            <w:tcW w:w="0" w:type="auto"/>
          </w:tcPr>
          <w:p>
            <w:r>
              <w:t xml:space="preserve">98.5%</w:t>
            </w:r>
          </w:p>
        </w:tc>
      </w:tr>
      <w:tr>
        <w:tc>
          <w:tcPr>
            <w:tcW w:w="0" w:type="auto"/>
          </w:tcPr>
          <w:p>
            <w:r>
              <w:t xml:space="preserve">AOI false call rate</w:t>
            </w:r>
          </w:p>
        </w:tc>
        <w:tc>
          <w:tcPr>
            <w:tcW w:w="0" w:type="auto"/>
          </w:tcPr>
          <w:p>
            <w:r>
              <w:t xml:space="preserve">Below 500 ppm</w:t>
            </w:r>
          </w:p>
        </w:tc>
      </w:tr>
      <w:tr>
        <w:tc>
          <w:tcPr>
            <w:tcW w:w="0" w:type="auto"/>
          </w:tcPr>
          <w:p>
            <w:r>
              <w:t xml:space="preserve">Changeovers per line per week</w:t>
            </w:r>
          </w:p>
        </w:tc>
        <w:tc>
          <w:tcPr>
            <w:tcW w:w="0" w:type="auto"/>
          </w:tcPr>
          <w:p>
            <w:r>
              <w:t xml:space="preserve">No more than 6</w:t>
            </w:r>
          </w:p>
        </w:tc>
      </w:tr>
    </w:tbl>
    <w:p/>
    <w:p>
      <w:pPr>
        <w:pStyle w:val="Heading2"/>
      </w:pPr>
      <w:r>
        <w:rPr>
          <w:b/>
          <w:sz w:val="26"/>
        </w:rPr>
        <w:t xml:space="preserve">Weekly capacity (planning figures)</w:t>
      </w:r>
    </w:p>
    <w:p>
      <w:r>
        <w:t xml:space="preserve">Planning uses 85% of rated throughput multiplied by 120 productive hours per week (144 available hours less maintenance, changeovers and breaks).</w:t>
      </w:r>
    </w:p>
    <w:tbl>
      <w:tblPr>
        <w:tblStyle w:val="TableGrid"/>
        <w:tblW w:w="0" w:type="auto"/>
      </w:tblPr>
      <w:tr>
        <w:tc>
          <w:tcPr>
            <w:tcW w:w="0" w:type="auto"/>
          </w:tcPr>
          <w:p>
            <w:r>
              <w:rPr>
                <w:b/>
              </w:rPr>
              <w:t xml:space="preserve">Board family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Lines able to run it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Planning capacity per week (single line)</w:t>
            </w:r>
          </w:p>
        </w:tc>
      </w:tr>
      <w:tr>
        <w:tc>
          <w:tcPr>
            <w:tcW w:w="0" w:type="auto"/>
          </w:tcPr>
          <w:p>
            <w:r>
              <w:t xml:space="preserve">HX-MB</w:t>
            </w:r>
          </w:p>
        </w:tc>
        <w:tc>
          <w:tcPr>
            <w:tcW w:w="0" w:type="auto"/>
          </w:tcPr>
          <w:p>
            <w:r>
              <w:t xml:space="preserve">SMT-1, SMT-2</w:t>
            </w:r>
          </w:p>
        </w:tc>
        <w:tc>
          <w:tcPr>
            <w:tcW w:w="0" w:type="auto"/>
          </w:tcPr>
          <w:p>
            <w:r>
              <w:t xml:space="preserve">about 38,700 (SMT-1) or 40,800 (SMT-2)</w:t>
            </w:r>
          </w:p>
        </w:tc>
      </w:tr>
      <w:tr>
        <w:tc>
          <w:tcPr>
            <w:tcW w:w="0" w:type="auto"/>
          </w:tcPr>
          <w:p>
            <w:r>
              <w:t xml:space="preserve">TS4E-EN</w:t>
            </w:r>
          </w:p>
        </w:tc>
        <w:tc>
          <w:tcPr>
            <w:tcW w:w="0" w:type="auto"/>
          </w:tcPr>
          <w:p>
            <w:r>
              <w:t xml:space="preserve">SMT-2, SMT-3</w:t>
            </w:r>
          </w:p>
        </w:tc>
        <w:tc>
          <w:tcPr>
            <w:tcW w:w="0" w:type="auto"/>
          </w:tcPr>
          <w:p>
            <w:r>
              <w:t xml:space="preserve">about 50,000 (SMT-2) or 52,400 (SMT-3)</w:t>
            </w:r>
          </w:p>
        </w:tc>
      </w:tr>
      <w:tr>
        <w:tc>
          <w:tcPr>
            <w:tcW w:w="0" w:type="auto"/>
          </w:tcPr>
          <w:p>
            <w:r>
              <w:t xml:space="preserve">TS4-GW</w:t>
            </w:r>
          </w:p>
        </w:tc>
        <w:tc>
          <w:tcPr>
            <w:tcW w:w="0" w:type="auto"/>
          </w:tcPr>
          <w:p>
            <w:r>
              <w:t xml:space="preserve">SMT-3, SMT-4</w:t>
            </w:r>
          </w:p>
        </w:tc>
        <w:tc>
          <w:tcPr>
            <w:tcW w:w="0" w:type="auto"/>
          </w:tcPr>
          <w:p>
            <w:r>
              <w:t xml:space="preserve">about 12,000 (SMT-3) or 11,400 (SMT-4)</w:t>
            </w:r>
          </w:p>
        </w:tc>
      </w:tr>
      <w:tr>
        <w:tc>
          <w:tcPr>
            <w:tcW w:w="0" w:type="auto"/>
          </w:tcPr>
          <w:p>
            <w:r>
              <w:t xml:space="preserve">LF60-SB</w:t>
            </w:r>
          </w:p>
        </w:tc>
        <w:tc>
          <w:tcPr>
            <w:tcW w:w="0" w:type="auto"/>
          </w:tcPr>
          <w:p>
            <w:r>
              <w:t xml:space="preserve">SMT-1, SMT-4</w:t>
            </w:r>
          </w:p>
        </w:tc>
        <w:tc>
          <w:tcPr>
            <w:tcW w:w="0" w:type="auto"/>
          </w:tcPr>
          <w:p>
            <w:r>
              <w:t xml:space="preserve">about 14,100 (SMT-1) or 14,700 (SMT-4)</w:t>
            </w:r>
          </w:p>
        </w:tc>
      </w:tr>
    </w:tbl>
    <w:p/>
    <w:p>
      <w:pPr>
        <w:pStyle w:val="Heading2"/>
      </w:pPr>
      <w:r>
        <w:rPr>
          <w:b/>
          <w:sz w:val="26"/>
        </w:rPr>
        <w:t xml:space="preserve">Notes</w:t>
      </w:r>
    </w:p>
    <w:p>
      <w:pPr>
        <w:pStyle w:val="ListParagraph"/>
      </w:pPr>
      <w:r>
        <w:t xml:space="preserve">• TS-4 gateway boards (TS4-GW) are the capacity constraint for FY26. A second placement head upgrade on SMT-3 is planned for Q3 FY26.</w:t>
      </w:r>
    </w:p>
    <w:p>
      <w:pPr>
        <w:pStyle w:val="ListParagraph"/>
      </w:pPr>
      <w:r>
        <w:t xml:space="preserve">• Halcyon demand peaks in Q4 (January to March); planners should load HX-MB on both SMT-1 and SMT-2 during that quarter.</w:t>
      </w:r>
    </w:p>
    <w:p>
      <w:pPr>
        <w:pStyle w:val="ListParagraph"/>
      </w:pPr>
      <w:r>
        <w:t xml:space="preserve">• Throughput figures exclude boards scrapped at X-ray or functional test.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  <w:style w:type="paragraph" w:styleId="ListParagraph">
    <w:name w:val="List Paragraph"/>
    <w:basedOn w:val="Normal"/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Penang SMT Line Throughput and Capacity, FY26</dc:title>
  <dc:creator>Meridian Instruments</dc:creator>
</cp:coreProperties>
</file>