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Tessera Alarm Configuration Guide</w:t>
      </w:r>
    </w:p>
    <w:p>
      <w:r>
        <w:t xml:space="preserve">Document ID: prod-tessera-alarm-configuration-guide | Version: 2.3 | Effective: 2025-05-12 | Owner: Tessera Applications Engineering</w:t>
      </w:r>
    </w:p>
    <w:p>
      <w:pPr>
        <w:pStyle w:val="Heading2"/>
      </w:pPr>
      <w:r>
        <w:rPr>
          <w:b/>
          <w:sz w:val="26"/>
        </w:rPr>
        <w:t xml:space="preserve">1. Purpose</w:t>
      </w:r>
    </w:p>
    <w:p>
      <w:r>
        <w:t xml:space="preserve">This guide explains how TesseraCloud sets default vibration alarm thresholds for an asset, based on ISO 10816-3, and how to tune them. It is intended for reliability engineers and Site Admins configuring new assets, and for Meridian applications engineers supporting commissioning.</w:t>
      </w:r>
    </w:p>
    <w:p>
      <w:pPr>
        <w:pStyle w:val="Heading2"/>
      </w:pPr>
      <w:r>
        <w:rPr>
          <w:b/>
          <w:sz w:val="26"/>
        </w:rPr>
        <w:t xml:space="preserve">2. ISO 10816-3 evaluation zones</w:t>
      </w:r>
    </w:p>
    <w:p>
      <w:r>
        <w:t xml:space="preserve">ISO 10816-3 evaluates machine vibration using broadband velocity RMS, measured on the bearing housings, and classifies the result into four zones:</w:t>
      </w:r>
    </w:p>
    <w:p>
      <w:pPr>
        <w:pStyle w:val="ListParagraph"/>
      </w:pPr>
      <w:r>
        <w:t xml:space="preserve">• Zone A: vibration typical of newly commissioned machines.</w:t>
      </w:r>
    </w:p>
    <w:p>
      <w:pPr>
        <w:pStyle w:val="ListParagraph"/>
      </w:pPr>
      <w:r>
        <w:t xml:space="preserve">• Zone B: acceptable for unrestricted long-term operation.</w:t>
      </w:r>
    </w:p>
    <w:p>
      <w:pPr>
        <w:pStyle w:val="ListParagraph"/>
      </w:pPr>
      <w:r>
        <w:t xml:space="preserve">• Zone C: unsatisfactory for long-term continuous operation; the machine may run for a limited period until a suitable opportunity for remedial action.</w:t>
      </w:r>
    </w:p>
    <w:p>
      <w:pPr>
        <w:pStyle w:val="ListParagraph"/>
      </w:pPr>
      <w:r>
        <w:t xml:space="preserve">• Zone D: severe enough to cause damage to the machine.</w:t>
      </w:r>
    </w:p>
    <w:p>
      <w:r>
        <w:t xml:space="preserve">The standard distinguishes machine groups by size and foundation type. TesseraCloud uses two groups:</w:t>
      </w:r>
    </w:p>
    <w:p>
      <w:pPr>
        <w:pStyle w:val="ListParagraph"/>
      </w:pPr>
      <w:r>
        <w:t xml:space="preserve">• Group 1: large machines with rated power above 300 kW, and electrical machines with shaft height of 315 mm or more.</w:t>
      </w:r>
    </w:p>
    <w:p>
      <w:pPr>
        <w:pStyle w:val="ListParagraph"/>
      </w:pPr>
      <w:r>
        <w:t xml:space="preserve">• Group 2: medium machines with rated power from 15 kW to 300 kW, and electrical machines with shaft height from 160 mm to 315 mm.</w:t>
      </w:r>
    </w:p>
    <w:p>
      <w:r>
        <w:t xml:space="preserve">Machines below 15 kW are not covered by ISO 10816-3. For such machines TesseraCloud uses the Group 2 rigid values by default and flags the asset as "Outside ISO 10816-3 scope".</w:t>
      </w:r>
    </w:p>
    <w:p>
      <w:pPr>
        <w:pStyle w:val="Heading2"/>
      </w:pPr>
      <w:r>
        <w:rPr>
          <w:b/>
          <w:sz w:val="26"/>
        </w:rPr>
        <w:t xml:space="preserve">3. Default velocity RMS thresholds</w:t>
      </w:r>
    </w:p>
    <w:p>
      <w:r>
        <w:t xml:space="preserve">When an asset is created with its rated power and foundation type, TesseraCloud applies the zone boundaries below (velocity RMS, 10 Hz to 1 kHz, in mm/s):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Machine group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Foundation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A/B boundary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B/C boundary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C/D boundary</w:t>
            </w:r>
          </w:p>
        </w:tc>
      </w:tr>
      <w:tr>
        <w:tc>
          <w:tcPr>
            <w:tcW w:w="0" w:type="auto"/>
          </w:tcPr>
          <w:p>
            <w:r>
              <w:t xml:space="preserve">Group 1 (above 300 kW)</w:t>
            </w:r>
          </w:p>
        </w:tc>
        <w:tc>
          <w:tcPr>
            <w:tcW w:w="0" w:type="auto"/>
          </w:tcPr>
          <w:p>
            <w:r>
              <w:t xml:space="preserve">Rigid</w:t>
            </w:r>
          </w:p>
        </w:tc>
        <w:tc>
          <w:tcPr>
            <w:tcW w:w="0" w:type="auto"/>
          </w:tcPr>
          <w:p>
            <w:r>
              <w:t xml:space="preserve">2.3</w:t>
            </w:r>
          </w:p>
        </w:tc>
        <w:tc>
          <w:tcPr>
            <w:tcW w:w="0" w:type="auto"/>
          </w:tcPr>
          <w:p>
            <w:r>
              <w:t xml:space="preserve">4.5</w:t>
            </w:r>
          </w:p>
        </w:tc>
        <w:tc>
          <w:tcPr>
            <w:tcW w:w="0" w:type="auto"/>
          </w:tcPr>
          <w:p>
            <w:r>
              <w:t xml:space="preserve">7.1</w:t>
            </w:r>
          </w:p>
        </w:tc>
      </w:tr>
      <w:tr>
        <w:tc>
          <w:tcPr>
            <w:tcW w:w="0" w:type="auto"/>
          </w:tcPr>
          <w:p>
            <w:r>
              <w:t xml:space="preserve">Group 1 (above 300 kW)</w:t>
            </w:r>
          </w:p>
        </w:tc>
        <w:tc>
          <w:tcPr>
            <w:tcW w:w="0" w:type="auto"/>
          </w:tcPr>
          <w:p>
            <w:r>
              <w:t xml:space="preserve">Flexible</w:t>
            </w:r>
          </w:p>
        </w:tc>
        <w:tc>
          <w:tcPr>
            <w:tcW w:w="0" w:type="auto"/>
          </w:tcPr>
          <w:p>
            <w:r>
              <w:t xml:space="preserve">3.5</w:t>
            </w:r>
          </w:p>
        </w:tc>
        <w:tc>
          <w:tcPr>
            <w:tcW w:w="0" w:type="auto"/>
          </w:tcPr>
          <w:p>
            <w:r>
              <w:t xml:space="preserve">7.1</w:t>
            </w:r>
          </w:p>
        </w:tc>
        <w:tc>
          <w:tcPr>
            <w:tcW w:w="0" w:type="auto"/>
          </w:tcPr>
          <w:p>
            <w:r>
              <w:t xml:space="preserve">11.0</w:t>
            </w:r>
          </w:p>
        </w:tc>
      </w:tr>
      <w:tr>
        <w:tc>
          <w:tcPr>
            <w:tcW w:w="0" w:type="auto"/>
          </w:tcPr>
          <w:p>
            <w:r>
              <w:t xml:space="preserve">Group 2 (15-300 kW)</w:t>
            </w:r>
          </w:p>
        </w:tc>
        <w:tc>
          <w:tcPr>
            <w:tcW w:w="0" w:type="auto"/>
          </w:tcPr>
          <w:p>
            <w:r>
              <w:t xml:space="preserve">Rigid</w:t>
            </w:r>
          </w:p>
        </w:tc>
        <w:tc>
          <w:tcPr>
            <w:tcW w:w="0" w:type="auto"/>
          </w:tcPr>
          <w:p>
            <w:r>
              <w:t xml:space="preserve">1.4</w:t>
            </w:r>
          </w:p>
        </w:tc>
        <w:tc>
          <w:tcPr>
            <w:tcW w:w="0" w:type="auto"/>
          </w:tcPr>
          <w:p>
            <w:r>
              <w:t xml:space="preserve">2.8</w:t>
            </w:r>
          </w:p>
        </w:tc>
        <w:tc>
          <w:tcPr>
            <w:tcW w:w="0" w:type="auto"/>
          </w:tcPr>
          <w:p>
            <w:r>
              <w:t xml:space="preserve">4.5</w:t>
            </w:r>
          </w:p>
        </w:tc>
      </w:tr>
      <w:tr>
        <w:tc>
          <w:tcPr>
            <w:tcW w:w="0" w:type="auto"/>
          </w:tcPr>
          <w:p>
            <w:r>
              <w:t xml:space="preserve">Group 2 (15-300 kW)</w:t>
            </w:r>
          </w:p>
        </w:tc>
        <w:tc>
          <w:tcPr>
            <w:tcW w:w="0" w:type="auto"/>
          </w:tcPr>
          <w:p>
            <w:r>
              <w:t xml:space="preserve">Flexible</w:t>
            </w:r>
          </w:p>
        </w:tc>
        <w:tc>
          <w:tcPr>
            <w:tcW w:w="0" w:type="auto"/>
          </w:tcPr>
          <w:p>
            <w:r>
              <w:t xml:space="preserve">2.3</w:t>
            </w:r>
          </w:p>
        </w:tc>
        <w:tc>
          <w:tcPr>
            <w:tcW w:w="0" w:type="auto"/>
          </w:tcPr>
          <w:p>
            <w:r>
              <w:t xml:space="preserve">4.5</w:t>
            </w:r>
          </w:p>
        </w:tc>
        <w:tc>
          <w:tcPr>
            <w:tcW w:w="0" w:type="auto"/>
          </w:tcPr>
          <w:p>
            <w:r>
              <w:t xml:space="preserve">7.1</w:t>
            </w:r>
          </w:p>
        </w:tc>
      </w:tr>
    </w:tbl>
    <w:p/>
    <w:p>
      <w:r>
        <w:t xml:space="preserve">TesseraCloud maps these boundaries to alarm severities as follows:</w:t>
      </w:r>
    </w:p>
    <w:p>
      <w:pPr>
        <w:pStyle w:val="ListParagraph"/>
      </w:pPr>
      <w:r>
        <w:t xml:space="preserve">• Warning is raised at the B/C boundary.</w:t>
      </w:r>
    </w:p>
    <w:p>
      <w:pPr>
        <w:pStyle w:val="ListParagraph"/>
      </w:pPr>
      <w:r>
        <w:t xml:space="preserve">• Alarm is raised at the C/D boundary.</w:t>
      </w:r>
    </w:p>
    <w:p>
      <w:pPr>
        <w:pStyle w:val="ListParagraph"/>
      </w:pPr>
      <w:r>
        <w:t xml:space="preserve">• The A/B boundary is shown on trend charts as a reference line but does not raise an alarm.</w:t>
      </w:r>
    </w:p>
    <w:p>
      <w:r>
        <w:t xml:space="preserve">Example: a 90 kW centrifugal pump on a rigid baseplate is Group 2 rigid, so it receives a Warning at 2.8 mm/s and an Alarm at 4.5 mm/s.</w:t>
      </w:r>
    </w:p>
    <w:p>
      <w:pPr>
        <w:pStyle w:val="Heading2"/>
      </w:pPr>
      <w:r>
        <w:rPr>
          <w:b/>
          <w:sz w:val="26"/>
        </w:rPr>
        <w:t xml:space="preserve">4. Baseline-relative thresholds</w:t>
      </w:r>
    </w:p>
    <w:p>
      <w:r>
        <w:t xml:space="preserve">ISO limits are absolute and may be too loose for smooth-running machines. After 14 days of data, TesseraCloud computes a baseline for each measurement point and offers baseline-relative thresholds:</w:t>
      </w:r>
    </w:p>
    <w:p>
      <w:pPr>
        <w:pStyle w:val="ListParagraph"/>
      </w:pPr>
      <w:r>
        <w:t xml:space="preserve">• Warning at 2.5 times the baseline velocity RMS.</w:t>
      </w:r>
    </w:p>
    <w:p>
      <w:pPr>
        <w:pStyle w:val="ListParagraph"/>
      </w:pPr>
      <w:r>
        <w:t xml:space="preserve">• Alarm at 4 times the baseline velocity RMS.</w:t>
      </w:r>
    </w:p>
    <w:p>
      <w:r>
        <w:t xml:space="preserve">Baseline-relative thresholds are never set higher than the ISO values; TesseraCloud uses whichever threshold is lower. Enable them at Sites &gt; [site] &gt; Assets &gt; [asset] &gt; Alarm Profile &gt; Use Baseline.</w:t>
      </w:r>
    </w:p>
    <w:p>
      <w:pPr>
        <w:pStyle w:val="Heading2"/>
      </w:pPr>
      <w:r>
        <w:rPr>
          <w:b/>
          <w:sz w:val="26"/>
        </w:rPr>
        <w:t xml:space="preserve">5. Other indicators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Indicator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Default Warning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Default Alarm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0" w:type="auto"/>
          </w:tcPr>
          <w:p>
            <w:r>
              <w:t xml:space="preserve">Acceleration peak</w:t>
            </w:r>
          </w:p>
        </w:tc>
        <w:tc>
          <w:tcPr>
            <w:tcW w:w="0" w:type="auto"/>
          </w:tcPr>
          <w:p>
            <w:r>
              <w:t xml:space="preserve">10 g</w:t>
            </w:r>
          </w:p>
        </w:tc>
        <w:tc>
          <w:tcPr>
            <w:tcW w:w="0" w:type="auto"/>
          </w:tcPr>
          <w:p>
            <w:r>
              <w:t xml:space="preserve">20 g</w:t>
            </w:r>
          </w:p>
        </w:tc>
        <w:tc>
          <w:tcPr>
            <w:tcW w:w="0" w:type="auto"/>
          </w:tcPr>
          <w:p>
            <w:r>
              <w:t xml:space="preserve">Useful for gearboxes and rolling element bearings</w:t>
            </w:r>
          </w:p>
        </w:tc>
      </w:tr>
      <w:tr>
        <w:tc>
          <w:tcPr>
            <w:tcW w:w="0" w:type="auto"/>
          </w:tcPr>
          <w:p>
            <w:r>
              <w:t xml:space="preserve">Crest factor</w:t>
            </w:r>
          </w:p>
        </w:tc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7</w:t>
            </w:r>
          </w:p>
        </w:tc>
        <w:tc>
          <w:tcPr>
            <w:tcW w:w="0" w:type="auto"/>
          </w:tcPr>
          <w:p>
            <w:r>
              <w:t xml:space="preserve">Rising crest factor indicates early bearing damage</w:t>
            </w:r>
          </w:p>
        </w:tc>
      </w:tr>
      <w:tr>
        <w:tc>
          <w:tcPr>
            <w:tcW w:w="0" w:type="auto"/>
          </w:tcPr>
          <w:p>
            <w:r>
              <w:t xml:space="preserve">Surface temperature</w:t>
            </w:r>
          </w:p>
        </w:tc>
        <w:tc>
          <w:tcPr>
            <w:tcW w:w="0" w:type="auto"/>
          </w:tcPr>
          <w:p>
            <w:r>
              <w:t xml:space="preserve">80 C</w:t>
            </w:r>
          </w:p>
        </w:tc>
        <w:tc>
          <w:tcPr>
            <w:tcW w:w="0" w:type="auto"/>
          </w:tcPr>
          <w:p>
            <w:r>
              <w:t xml:space="preserve">95 C</w:t>
            </w:r>
          </w:p>
        </w:tc>
        <w:tc>
          <w:tcPr>
            <w:tcW w:w="0" w:type="auto"/>
          </w:tcPr>
          <w:p>
            <w:r>
              <w:t xml:space="preserve">Measured at the node base</w:t>
            </w:r>
          </w:p>
        </w:tc>
      </w:tr>
      <w:tr>
        <w:tc>
          <w:tcPr>
            <w:tcW w:w="0" w:type="auto"/>
          </w:tcPr>
          <w:p>
            <w:r>
              <w:t xml:space="preserve">Node battery</w:t>
            </w:r>
          </w:p>
        </w:tc>
        <w:tc>
          <w:tcPr>
            <w:tcW w:w="0" w:type="auto"/>
          </w:tcPr>
          <w:p>
            <w:r>
              <w:t xml:space="preserve">10%</w:t>
            </w:r>
          </w:p>
        </w:tc>
        <w:tc>
          <w:tcPr>
            <w:tcW w:w="0" w:type="auto"/>
          </w:tcPr>
          <w:p>
            <w:r>
              <w:t xml:space="preserve">5%</w:t>
            </w:r>
          </w:p>
        </w:tc>
        <w:tc>
          <w:tcPr>
            <w:tcW w:w="0" w:type="auto"/>
          </w:tcPr>
          <w:p>
            <w:r>
              <w:t xml:space="preserve">Low battery also raises event T-305</w:t>
            </w:r>
          </w:p>
        </w:tc>
      </w:tr>
    </w:tbl>
    <w:p/>
    <w:p>
      <w:pPr>
        <w:pStyle w:val="Heading2"/>
      </w:pPr>
      <w:r>
        <w:rPr>
          <w:b/>
          <w:sz w:val="26"/>
        </w:rPr>
        <w:t xml:space="preserve">6. Persistence and hysteresis</w:t>
      </w:r>
    </w:p>
    <w:p>
      <w:r>
        <w:t xml:space="preserve">To avoid nuisance alarms, an alarm is raised only after the threshold is exceeded for 3 consecutive readings (persistence), and cleared only after readings fall below the threshold minus a 10% hysteresis band for 3 consecutive readings. At the default reporting interval of 1 sample per hour, a Warning therefore takes about 3 hours to appear. For critical assets, reduce the reporting interval rather than the persistence count; persistence below 2 is not permitted.</w:t>
      </w:r>
    </w:p>
    <w:p>
      <w:pPr>
        <w:pStyle w:val="Heading2"/>
      </w:pPr>
      <w:r>
        <w:rPr>
          <w:b/>
          <w:sz w:val="26"/>
        </w:rPr>
        <w:t xml:space="preserve">7. Editing an alarm profile</w:t>
      </w:r>
    </w:p>
    <w:p>
      <w:pPr>
        <w:pStyle w:val="ListParagraph"/>
      </w:pPr>
      <w:r>
        <w:t xml:space="preserve">1. Open Sites &gt; [site] &gt; Assets &gt; [asset] &gt; Alarm Profile.</w:t>
      </w:r>
    </w:p>
    <w:p>
      <w:pPr>
        <w:pStyle w:val="ListParagraph"/>
      </w:pPr>
      <w:r>
        <w:t xml:space="preserve">2. Confirm the machine group and foundation type. Changing either recalculates the defaults.</w:t>
      </w:r>
    </w:p>
    <w:p>
      <w:pPr>
        <w:pStyle w:val="ListParagraph"/>
      </w:pPr>
      <w:r>
        <w:t xml:space="preserve">3. Override individual thresholds if needed. Overrides are shown with a pencil marker and are retained if the machine data changes.</w:t>
      </w:r>
    </w:p>
    <w:p>
      <w:pPr>
        <w:pStyle w:val="ListParagraph"/>
      </w:pPr>
      <w:r>
        <w:t xml:space="preserve">4. Choose the escalation plan (see the TesseraCloud Administrator Guide, prod-tesseracloud-admin-guide, section 7).</w:t>
      </w:r>
    </w:p>
    <w:p>
      <w:pPr>
        <w:pStyle w:val="ListParagraph"/>
      </w:pPr>
      <w:r>
        <w:t xml:space="preserve">5. Save. The profile applies from the next reading received.</w:t>
      </w:r>
    </w:p>
    <w:p>
      <w:r>
        <w:t xml:space="preserve">During planned work, use maintenance mode (maximum 72 hours per activation) rather than disabling the alarm profile.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ListParagraph">
    <w:name w:val="List Paragraph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Tessera Alarm Configuration Guide</dc:title>
  <dc:creator>Meridian Instruments</dc:creator>
</cp:coreProperties>
</file>