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Meridian Partner Programme Guide</w:t>
      </w:r>
    </w:p>
    <w:p>
      <w:r>
        <w:t xml:space="preserve">Document ID: sales-partner-program-guide | Version: 1 | Effective: 2025-04-01 | Owner: Channel Sales</w:t>
      </w:r>
    </w:p>
    <w:p>
      <w:pPr>
        <w:pStyle w:val="Heading2"/>
      </w:pPr>
      <w:r>
        <w:rPr>
          <w:b/>
          <w:sz w:val="26"/>
        </w:rPr>
        <w:t xml:space="preserve">1. Overview</w:t>
      </w:r>
    </w:p>
    <w:p>
      <w:r>
        <w:t xml:space="preserve">The Meridian Partner Programme covers distributors, resellers and systems integrators that sell and support Halcyon gas detectors, Tessera vibration monitoring and Lumen flow meters. The programme has three tiers: Registered, Silver and Gold. The programme year runs with Meridian's fiscal year, from 1 April to 31 March. Tier status is reviewed each April against the previous year's performance.</w:t>
      </w:r>
    </w:p>
    <w:p>
      <w:pPr>
        <w:pStyle w:val="Heading2"/>
      </w:pPr>
      <w:r>
        <w:rPr>
          <w:b/>
          <w:sz w:val="26"/>
        </w:rPr>
        <w:t xml:space="preserve">2. Tiers and benefits</w:t>
      </w:r>
    </w:p>
    <w:tbl>
      <w:tblPr>
        <w:tblStyle w:val="TableGrid"/>
        <w:tblW w:w="0" w:type="auto"/>
      </w:tblPr>
      <w:tr>
        <w:tc>
          <w:tcPr>
            <w:tcW w:w="0" w:type="auto"/>
          </w:tcPr>
          <w:p>
            <w:r>
              <w:rPr>
                <w:b/>
              </w:rPr>
              <w:t xml:space="preserve">Benefit</w:t>
            </w:r>
          </w:p>
        </w:tc>
        <w:tc>
          <w:tcPr>
            <w:tcW w:w="0" w:type="auto"/>
          </w:tcPr>
          <w:p>
            <w:r>
              <w:rPr>
                <w:b/>
              </w:rPr>
              <w:t xml:space="preserve">Registered</w:t>
            </w:r>
          </w:p>
        </w:tc>
        <w:tc>
          <w:tcPr>
            <w:tcW w:w="0" w:type="auto"/>
          </w:tcPr>
          <w:p>
            <w:r>
              <w:rPr>
                <w:b/>
              </w:rPr>
              <w:t xml:space="preserve">Silver</w:t>
            </w:r>
          </w:p>
        </w:tc>
        <w:tc>
          <w:tcPr>
            <w:tcW w:w="0" w:type="auto"/>
          </w:tcPr>
          <w:p>
            <w:r>
              <w:rPr>
                <w:b/>
              </w:rPr>
              <w:t xml:space="preserve">Gold</w:t>
            </w:r>
          </w:p>
        </w:tc>
      </w:tr>
      <w:tr>
        <w:tc>
          <w:tcPr>
            <w:tcW w:w="0" w:type="auto"/>
          </w:tcPr>
          <w:p>
            <w:r>
              <w:t xml:space="preserve">Partner discount off list</w:t>
            </w:r>
          </w:p>
        </w:tc>
        <w:tc>
          <w:tcPr>
            <w:tcW w:w="0" w:type="auto"/>
          </w:tcPr>
          <w:p>
            <w:r>
              <w:t xml:space="preserve">15%</w:t>
            </w:r>
          </w:p>
        </w:tc>
        <w:tc>
          <w:tcPr>
            <w:tcW w:w="0" w:type="auto"/>
          </w:tcPr>
          <w:p>
            <w:r>
              <w:t xml:space="preserve">22%</w:t>
            </w:r>
          </w:p>
        </w:tc>
        <w:tc>
          <w:tcPr>
            <w:tcW w:w="0" w:type="auto"/>
          </w:tcPr>
          <w:p>
            <w:r>
              <w:t xml:space="preserve">30%</w:t>
            </w:r>
          </w:p>
        </w:tc>
      </w:tr>
      <w:tr>
        <w:tc>
          <w:tcPr>
            <w:tcW w:w="0" w:type="auto"/>
          </w:tcPr>
          <w:p>
            <w:r>
              <w:t xml:space="preserve">Deal registration</w:t>
            </w:r>
          </w:p>
        </w:tc>
        <w:tc>
          <w:tcPr>
            <w:tcW w:w="0" w:type="auto"/>
          </w:tcPr>
          <w:p>
            <w:r>
              <w:t xml:space="preserve">Yes</w:t>
            </w:r>
          </w:p>
        </w:tc>
        <w:tc>
          <w:tcPr>
            <w:tcW w:w="0" w:type="auto"/>
          </w:tcPr>
          <w:p>
            <w:r>
              <w:t xml:space="preserve">Yes</w:t>
            </w:r>
          </w:p>
        </w:tc>
        <w:tc>
          <w:tcPr>
            <w:tcW w:w="0" w:type="auto"/>
          </w:tcPr>
          <w:p>
            <w:r>
              <w:t xml:space="preserve">Yes</w:t>
            </w:r>
          </w:p>
        </w:tc>
      </w:tr>
      <w:tr>
        <w:tc>
          <w:tcPr>
            <w:tcW w:w="0" w:type="auto"/>
          </w:tcPr>
          <w:p>
            <w:r>
              <w:t xml:space="preserve">Market development funds (MDF)</w:t>
            </w:r>
          </w:p>
        </w:tc>
        <w:tc>
          <w:tcPr>
            <w:tcW w:w="0" w:type="auto"/>
          </w:tcPr>
          <w:p>
            <w:r>
              <w:t xml:space="preserve">None</w:t>
            </w:r>
          </w:p>
        </w:tc>
        <w:tc>
          <w:tcPr>
            <w:tcW w:w="0" w:type="auto"/>
          </w:tcPr>
          <w:p>
            <w:r>
              <w:t xml:space="preserve">2% of prior-year net purchases</w:t>
            </w:r>
          </w:p>
        </w:tc>
        <w:tc>
          <w:tcPr>
            <w:tcW w:w="0" w:type="auto"/>
          </w:tcPr>
          <w:p>
            <w:r>
              <w:t xml:space="preserve">3% of prior-year net purchases</w:t>
            </w:r>
          </w:p>
        </w:tc>
      </w:tr>
      <w:tr>
        <w:tc>
          <w:tcPr>
            <w:tcW w:w="0" w:type="auto"/>
          </w:tcPr>
          <w:p>
            <w:r>
              <w:t xml:space="preserve">Demo equipment discount</w:t>
            </w:r>
          </w:p>
        </w:tc>
        <w:tc>
          <w:tcPr>
            <w:tcW w:w="0" w:type="auto"/>
          </w:tcPr>
          <w:p>
            <w:r>
              <w:t xml:space="preserve">30%</w:t>
            </w:r>
          </w:p>
        </w:tc>
        <w:tc>
          <w:tcPr>
            <w:tcW w:w="0" w:type="auto"/>
          </w:tcPr>
          <w:p>
            <w:r>
              <w:t xml:space="preserve">40%</w:t>
            </w:r>
          </w:p>
        </w:tc>
        <w:tc>
          <w:tcPr>
            <w:tcW w:w="0" w:type="auto"/>
          </w:tcPr>
          <w:p>
            <w:r>
              <w:t xml:space="preserve">50%</w:t>
            </w:r>
          </w:p>
        </w:tc>
      </w:tr>
      <w:tr>
        <w:tc>
          <w:tcPr>
            <w:tcW w:w="0" w:type="auto"/>
          </w:tcPr>
          <w:p>
            <w:r>
              <w:t xml:space="preserve">Not-for-resale training units</w:t>
            </w:r>
          </w:p>
        </w:tc>
        <w:tc>
          <w:tcPr>
            <w:tcW w:w="0" w:type="auto"/>
          </w:tcPr>
          <w:p>
            <w:r>
              <w:t xml:space="preserve">None</w:t>
            </w:r>
          </w:p>
        </w:tc>
        <w:tc>
          <w:tcPr>
            <w:tcW w:w="0" w:type="auto"/>
          </w:tcPr>
          <w:p>
            <w:r>
              <w:t xml:space="preserve">1 Halcyon demo kit</w:t>
            </w:r>
          </w:p>
        </w:tc>
        <w:tc>
          <w:tcPr>
            <w:tcW w:w="0" w:type="auto"/>
          </w:tcPr>
          <w:p>
            <w:r>
              <w:t xml:space="preserve">1 Halcyon and 1 Tessera demo kit</w:t>
            </w:r>
          </w:p>
        </w:tc>
      </w:tr>
      <w:tr>
        <w:tc>
          <w:tcPr>
            <w:tcW w:w="0" w:type="auto"/>
          </w:tcPr>
          <w:p>
            <w:r>
              <w:t xml:space="preserve">Named channel account manager</w:t>
            </w:r>
          </w:p>
        </w:tc>
        <w:tc>
          <w:tcPr>
            <w:tcW w:w="0" w:type="auto"/>
          </w:tcPr>
          <w:p>
            <w:r>
              <w:t xml:space="preserve">No, pooled team</w:t>
            </w:r>
          </w:p>
        </w:tc>
        <w:tc>
          <w:tcPr>
            <w:tcW w:w="0" w:type="auto"/>
          </w:tcPr>
          <w:p>
            <w:r>
              <w:t xml:space="preserve">Yes</w:t>
            </w:r>
          </w:p>
        </w:tc>
        <w:tc>
          <w:tcPr>
            <w:tcW w:w="0" w:type="auto"/>
          </w:tcPr>
          <w:p>
            <w:r>
              <w:t xml:space="preserve">Yes, plus quarterly business review</w:t>
            </w:r>
          </w:p>
        </w:tc>
      </w:tr>
      <w:tr>
        <w:tc>
          <w:tcPr>
            <w:tcW w:w="0" w:type="auto"/>
          </w:tcPr>
          <w:p>
            <w:r>
              <w:t xml:space="preserve">Listing on partner locator</w:t>
            </w:r>
          </w:p>
        </w:tc>
        <w:tc>
          <w:tcPr>
            <w:tcW w:w="0" w:type="auto"/>
          </w:tcPr>
          <w:p>
            <w:r>
              <w:t xml:space="preserve">No</w:t>
            </w:r>
          </w:p>
        </w:tc>
        <w:tc>
          <w:tcPr>
            <w:tcW w:w="0" w:type="auto"/>
          </w:tcPr>
          <w:p>
            <w:r>
              <w:t xml:space="preserve">Yes</w:t>
            </w:r>
          </w:p>
        </w:tc>
        <w:tc>
          <w:tcPr>
            <w:tcW w:w="0" w:type="auto"/>
          </w:tcPr>
          <w:p>
            <w:r>
              <w:t xml:space="preserve">Yes, featured</w:t>
            </w:r>
          </w:p>
        </w:tc>
      </w:tr>
      <w:tr>
        <w:tc>
          <w:tcPr>
            <w:tcW w:w="0" w:type="auto"/>
          </w:tcPr>
          <w:p>
            <w:r>
              <w:t xml:space="preserve">Access to TesseraCloud partner tenant</w:t>
            </w:r>
          </w:p>
        </w:tc>
        <w:tc>
          <w:tcPr>
            <w:tcW w:w="0" w:type="auto"/>
          </w:tcPr>
          <w:p>
            <w:r>
              <w:t xml:space="preserve">No</w:t>
            </w:r>
          </w:p>
        </w:tc>
        <w:tc>
          <w:tcPr>
            <w:tcW w:w="0" w:type="auto"/>
          </w:tcPr>
          <w:p>
            <w:r>
              <w:t xml:space="preserve">Yes</w:t>
            </w:r>
          </w:p>
        </w:tc>
        <w:tc>
          <w:tcPr>
            <w:tcW w:w="0" w:type="auto"/>
          </w:tcPr>
          <w:p>
            <w:r>
              <w:t xml:space="preserve">Yes</w:t>
            </w:r>
          </w:p>
        </w:tc>
      </w:tr>
    </w:tbl>
    <w:p/>
    <w:p>
      <w:r>
        <w:t xml:space="preserve">The partner discount applies to hardware and consumables at the regional list price in the Hardware and Subscription Price List FY2025/26. TesseraCloud subscriptions carry a fixed partner margin of 15% at all tiers. Support contracts sold by partners carry 10% at all tiers.</w:t>
      </w:r>
    </w:p>
    <w:p>
      <w:pPr>
        <w:pStyle w:val="Heading2"/>
      </w:pPr>
      <w:r>
        <w:rPr>
          <w:b/>
          <w:sz w:val="26"/>
        </w:rPr>
        <w:t xml:space="preserve">3. Tier requirements</w:t>
      </w:r>
    </w:p>
    <w:tbl>
      <w:tblPr>
        <w:tblStyle w:val="TableGrid"/>
        <w:tblW w:w="0" w:type="auto"/>
      </w:tblPr>
      <w:tr>
        <w:tc>
          <w:tcPr>
            <w:tcW w:w="0" w:type="auto"/>
          </w:tcPr>
          <w:p>
            <w:r>
              <w:rPr>
                <w:b/>
              </w:rPr>
              <w:t xml:space="preserve">Requirement</w:t>
            </w:r>
          </w:p>
        </w:tc>
        <w:tc>
          <w:tcPr>
            <w:tcW w:w="0" w:type="auto"/>
          </w:tcPr>
          <w:p>
            <w:r>
              <w:rPr>
                <w:b/>
              </w:rPr>
              <w:t xml:space="preserve">Registered</w:t>
            </w:r>
          </w:p>
        </w:tc>
        <w:tc>
          <w:tcPr>
            <w:tcW w:w="0" w:type="auto"/>
          </w:tcPr>
          <w:p>
            <w:r>
              <w:rPr>
                <w:b/>
              </w:rPr>
              <w:t xml:space="preserve">Silver</w:t>
            </w:r>
          </w:p>
        </w:tc>
        <w:tc>
          <w:tcPr>
            <w:tcW w:w="0" w:type="auto"/>
          </w:tcPr>
          <w:p>
            <w:r>
              <w:rPr>
                <w:b/>
              </w:rPr>
              <w:t xml:space="preserve">Gold</w:t>
            </w:r>
          </w:p>
        </w:tc>
      </w:tr>
      <w:tr>
        <w:tc>
          <w:tcPr>
            <w:tcW w:w="0" w:type="auto"/>
          </w:tcPr>
          <w:p>
            <w:r>
              <w:t xml:space="preserve">Signed partner agreement</w:t>
            </w:r>
          </w:p>
        </w:tc>
        <w:tc>
          <w:tcPr>
            <w:tcW w:w="0" w:type="auto"/>
          </w:tcPr>
          <w:p>
            <w:r>
              <w:t xml:space="preserve">Yes</w:t>
            </w:r>
          </w:p>
        </w:tc>
        <w:tc>
          <w:tcPr>
            <w:tcW w:w="0" w:type="auto"/>
          </w:tcPr>
          <w:p>
            <w:r>
              <w:t xml:space="preserve">Yes</w:t>
            </w:r>
          </w:p>
        </w:tc>
        <w:tc>
          <w:tcPr>
            <w:tcW w:w="0" w:type="auto"/>
          </w:tcPr>
          <w:p>
            <w:r>
              <w:t xml:space="preserve">Yes</w:t>
            </w:r>
          </w:p>
        </w:tc>
      </w:tr>
      <w:tr>
        <w:tc>
          <w:tcPr>
            <w:tcW w:w="0" w:type="auto"/>
          </w:tcPr>
          <w:p>
            <w:r>
              <w:t xml:space="preserve">Minimum annual net purchases</w:t>
            </w:r>
          </w:p>
        </w:tc>
        <w:tc>
          <w:tcPr>
            <w:tcW w:w="0" w:type="auto"/>
          </w:tcPr>
          <w:p>
            <w:r>
              <w:t xml:space="preserve">None</w:t>
            </w:r>
          </w:p>
        </w:tc>
        <w:tc>
          <w:tcPr>
            <w:tcW w:w="0" w:type="auto"/>
          </w:tcPr>
          <w:p>
            <w:r>
              <w:t xml:space="preserve">GBP 60,000</w:t>
            </w:r>
          </w:p>
        </w:tc>
        <w:tc>
          <w:tcPr>
            <w:tcW w:w="0" w:type="auto"/>
          </w:tcPr>
          <w:p>
            <w:r>
              <w:t xml:space="preserve">GBP 200,000</w:t>
            </w:r>
          </w:p>
        </w:tc>
      </w:tr>
      <w:tr>
        <w:tc>
          <w:tcPr>
            <w:tcW w:w="0" w:type="auto"/>
          </w:tcPr>
          <w:p>
            <w:r>
              <w:t xml:space="preserve">Certified sales staff</w:t>
            </w:r>
          </w:p>
        </w:tc>
        <w:tc>
          <w:tcPr>
            <w:tcW w:w="0" w:type="auto"/>
          </w:tcPr>
          <w:p>
            <w:r>
              <w:t xml:space="preserve">1</w:t>
            </w:r>
          </w:p>
        </w:tc>
        <w:tc>
          <w:tcPr>
            <w:tcW w:w="0" w:type="auto"/>
          </w:tcPr>
          <w:p>
            <w:r>
              <w:t xml:space="preserve">2</w:t>
            </w:r>
          </w:p>
        </w:tc>
        <w:tc>
          <w:tcPr>
            <w:tcW w:w="0" w:type="auto"/>
          </w:tcPr>
          <w:p>
            <w:r>
              <w:t xml:space="preserve">4</w:t>
            </w:r>
          </w:p>
        </w:tc>
      </w:tr>
      <w:tr>
        <w:tc>
          <w:tcPr>
            <w:tcW w:w="0" w:type="auto"/>
          </w:tcPr>
          <w:p>
            <w:r>
              <w:t xml:space="preserve">Certified service engineers</w:t>
            </w:r>
          </w:p>
        </w:tc>
        <w:tc>
          <w:tcPr>
            <w:tcW w:w="0" w:type="auto"/>
          </w:tcPr>
          <w:p>
            <w:r>
              <w:t xml:space="preserve">0</w:t>
            </w:r>
          </w:p>
        </w:tc>
        <w:tc>
          <w:tcPr>
            <w:tcW w:w="0" w:type="auto"/>
          </w:tcPr>
          <w:p>
            <w:r>
              <w:t xml:space="preserve">1</w:t>
            </w:r>
          </w:p>
        </w:tc>
        <w:tc>
          <w:tcPr>
            <w:tcW w:w="0" w:type="auto"/>
          </w:tcPr>
          <w:p>
            <w:r>
              <w:t xml:space="preserve">3</w:t>
            </w:r>
          </w:p>
        </w:tc>
      </w:tr>
      <w:tr>
        <w:tc>
          <w:tcPr>
            <w:tcW w:w="0" w:type="auto"/>
          </w:tcPr>
          <w:p>
            <w:r>
              <w:t xml:space="preserve">Halcyon dock service capability</w:t>
            </w:r>
          </w:p>
        </w:tc>
        <w:tc>
          <w:tcPr>
            <w:tcW w:w="0" w:type="auto"/>
          </w:tcPr>
          <w:p>
            <w:r>
              <w:t xml:space="preserve">No</w:t>
            </w:r>
          </w:p>
        </w:tc>
        <w:tc>
          <w:tcPr>
            <w:tcW w:w="0" w:type="auto"/>
          </w:tcPr>
          <w:p>
            <w:r>
              <w:t xml:space="preserve">Yes</w:t>
            </w:r>
          </w:p>
        </w:tc>
        <w:tc>
          <w:tcPr>
            <w:tcW w:w="0" w:type="auto"/>
          </w:tcPr>
          <w:p>
            <w:r>
              <w:t xml:space="preserve">Yes</w:t>
            </w:r>
          </w:p>
        </w:tc>
      </w:tr>
      <w:tr>
        <w:tc>
          <w:tcPr>
            <w:tcW w:w="0" w:type="auto"/>
          </w:tcPr>
          <w:p>
            <w:r>
              <w:t xml:space="preserve">Tessera installation certification</w:t>
            </w:r>
          </w:p>
        </w:tc>
        <w:tc>
          <w:tcPr>
            <w:tcW w:w="0" w:type="auto"/>
          </w:tcPr>
          <w:p>
            <w:r>
              <w:t xml:space="preserve">No</w:t>
            </w:r>
          </w:p>
        </w:tc>
        <w:tc>
          <w:tcPr>
            <w:tcW w:w="0" w:type="auto"/>
          </w:tcPr>
          <w:p>
            <w:r>
              <w:t xml:space="preserve">Optional</w:t>
            </w:r>
          </w:p>
        </w:tc>
        <w:tc>
          <w:tcPr>
            <w:tcW w:w="0" w:type="auto"/>
          </w:tcPr>
          <w:p>
            <w:r>
              <w:t xml:space="preserve">Required</w:t>
            </w:r>
          </w:p>
        </w:tc>
      </w:tr>
      <w:tr>
        <w:tc>
          <w:tcPr>
            <w:tcW w:w="0" w:type="auto"/>
          </w:tcPr>
          <w:p>
            <w:r>
              <w:t xml:space="preserve">Annual business plan</w:t>
            </w:r>
          </w:p>
        </w:tc>
        <w:tc>
          <w:tcPr>
            <w:tcW w:w="0" w:type="auto"/>
          </w:tcPr>
          <w:p>
            <w:r>
              <w:t xml:space="preserve">No</w:t>
            </w:r>
          </w:p>
        </w:tc>
        <w:tc>
          <w:tcPr>
            <w:tcW w:w="0" w:type="auto"/>
          </w:tcPr>
          <w:p>
            <w:r>
              <w:t xml:space="preserve">Yes</w:t>
            </w:r>
          </w:p>
        </w:tc>
        <w:tc>
          <w:tcPr>
            <w:tcW w:w="0" w:type="auto"/>
          </w:tcPr>
          <w:p>
            <w:r>
              <w:t xml:space="preserve">Yes, reviewed quarterly</w:t>
            </w:r>
          </w:p>
        </w:tc>
      </w:tr>
    </w:tbl>
    <w:p/>
    <w:p>
      <w:r>
        <w:t xml:space="preserve">Revenue thresholds are converted at the Atlas planning rate for partners buying in EUR, USD or MYR: EUR 70,000 / USD 75,000 / MYR 350,000 for Silver, and EUR 232,000 / USD 250,000 / MYR 1,160,000 for Gold.</w:t>
      </w:r>
    </w:p>
    <w:p>
      <w:r>
        <w:t xml:space="preserve">Certification courses are run online through the Meridian Academy and in person at Leeds, Rotterdam, Austin and Penang. A certified service engineer must hold the Halcyon Service Technician certificate, which is valid for two years. Gold partners also need at least one engineer with the Tessera Installer certificate.</w:t>
      </w:r>
    </w:p>
    <w:p>
      <w:pPr>
        <w:pStyle w:val="Heading2"/>
      </w:pPr>
      <w:r>
        <w:rPr>
          <w:b/>
          <w:sz w:val="26"/>
        </w:rPr>
        <w:t xml:space="preserve">4. Deal registration</w:t>
      </w:r>
    </w:p>
    <w:p>
      <w:r>
        <w:t xml:space="preserve">Partners register opportunities in the partner portal before the customer gets a quotation. An approved registration gives the registering partner 90 days of protection. During that time Meridian will not accept a competing registration for the same end customer and project, and the registering partner gets an extra 5% project discount on top of their tier discount.</w:t>
      </w:r>
    </w:p>
    <w:p>
      <w:pPr>
        <w:pStyle w:val="ListParagraph"/>
      </w:pPr>
      <w:r>
        <w:t xml:space="preserve">• A registration must include end-customer name, site, products, estimated quantities and expected close date.</w:t>
      </w:r>
    </w:p>
    <w:p>
      <w:pPr>
        <w:pStyle w:val="ListParagraph"/>
      </w:pPr>
      <w:r>
        <w:t xml:space="preserve">• Channel Sales approves or rejects within 2 working days.</w:t>
      </w:r>
    </w:p>
    <w:p>
      <w:pPr>
        <w:pStyle w:val="ListParagraph"/>
      </w:pPr>
      <w:r>
        <w:t xml:space="preserve">• Protection can be extended once by 30 days if the partner shows active progress, such as a site survey or trial.</w:t>
      </w:r>
    </w:p>
    <w:p>
      <w:pPr>
        <w:pStyle w:val="ListParagraph"/>
      </w:pPr>
      <w:r>
        <w:t xml:space="preserve">• Registrations above GBP 250,000 are reviewed by the deal desk. The protection period is unchanged.</w:t>
      </w:r>
    </w:p>
    <w:p>
      <w:r>
        <w:t xml:space="preserve">Extra project discounts beyond tier discount plus deal registration are approved under the Sales Discount Approval Matrix. Only the increment above tier plus registration counts toward the approval band.</w:t>
      </w:r>
    </w:p>
    <w:p>
      <w:pPr>
        <w:pStyle w:val="Heading2"/>
      </w:pPr>
      <w:r>
        <w:rPr>
          <w:b/>
          <w:sz w:val="26"/>
        </w:rPr>
        <w:t xml:space="preserve">5. Market development funds</w:t>
      </w:r>
    </w:p>
    <w:p>
      <w:r>
        <w:t xml:space="preserve">MDF accrues each quarter as a percentage of net purchases in the previous programme year. Funds must be pre-approved through the partner portal at least 30 days before the activity. Claims must be submitted within 60 days of the activity with proof of performance. Eligible activities include trade shows, joint customer seminars, digital campaigns and demo equipment beyond the included kits. MDF cannot be used for staff salaries or product discounts. Unclaimed MDF expires on 31 March and does not roll over.</w:t>
      </w:r>
    </w:p>
    <w:p>
      <w:pPr>
        <w:pStyle w:val="Heading2"/>
      </w:pPr>
      <w:r>
        <w:rPr>
          <w:b/>
          <w:sz w:val="26"/>
        </w:rPr>
        <w:t xml:space="preserve">6. Support obligations</w:t>
      </w:r>
    </w:p>
    <w:p>
      <w:r>
        <w:t xml:space="preserve">Silver and Gold partners provide first-line support to their customers. They escalate to Meridian through the Meridian Support Centre (MSC) portal with a partner account. Returns follow the current RMA process (sup-rma-process-v2), including the mandatory MI-F-031 decontamination declaration for gas detection equipment.</w:t>
      </w:r>
    </w:p>
    <w:p>
      <w:pPr>
        <w:pStyle w:val="Heading2"/>
      </w:pPr>
      <w:r>
        <w:rPr>
          <w:b/>
          <w:sz w:val="26"/>
        </w:rPr>
        <w:t xml:space="preserve">7. Termination and tier changes</w:t>
      </w:r>
    </w:p>
    <w:p>
      <w:r>
        <w:t xml:space="preserve">A partner that misses its tier requirements at the April review moves down one tier from 1 July, which gives a three-month grace period. Either party may end the partner agreement with 90 days' written notice. Open deal registrations lapse on termination.</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Meridian Partner Programme Guide</dc:title>
  <dc:creator>Meridian Instruments</dc:creator>
</cp:coreProperties>
</file>