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Tessera ROI Calculator Guide</w:t>
      </w:r>
    </w:p>
    <w:p>
      <w:r>
        <w:t xml:space="preserve">Document ID: sales-tessera-roi-guide | Version: 1 | Effective: 2025-06-05 | Owner: Sales Enablement, Tessera</w:t>
      </w:r>
    </w:p>
    <w:p>
      <w:pPr>
        <w:pStyle w:val="Heading2"/>
      </w:pPr>
      <w:r>
        <w:rPr>
          <w:b/>
          <w:sz w:val="26"/>
        </w:rPr>
        <w:t xml:space="preserve">1. Purpose</w:t>
      </w:r>
    </w:p>
    <w:p>
      <w:r>
        <w:t xml:space="preserve">The Tessera ROI calculator is a spreadsheet model on the Sales Enablement SharePoint site under Tessera &gt; Tools. It estimates the payback period and three-year return of a Tessera vibration-monitoring deployment against the customer's current practice, which is usually monthly route-based data collection with a handheld analyser. This guide explains the inputs, the default assumptions and how to present results. It ends with a worked example.</w:t>
      </w:r>
    </w:p>
    <w:p>
      <w:r>
        <w:t xml:space="preserve">Always run the calculator with the customer's own figures where they have them. Defaults are for a first conversation only.</w:t>
      </w:r>
    </w:p>
    <w:p>
      <w:pPr>
        <w:pStyle w:val="Heading2"/>
      </w:pPr>
      <w:r>
        <w:rPr>
          <w:b/>
          <w:sz w:val="26"/>
        </w:rPr>
        <w:t xml:space="preserve">2. Inputs</w:t>
      </w:r>
    </w:p>
    <w:p>
      <w:pPr>
        <w:pStyle w:val="Heading3"/>
      </w:pPr>
      <w:r>
        <w:rPr>
          <w:b/>
          <w:sz w:val="22"/>
        </w:rPr>
        <w:t xml:space="preserve">Deployment inputs</w:t>
      </w:r>
    </w:p>
    <w:p>
      <w:pPr>
        <w:pStyle w:val="ListParagraph"/>
      </w:pPr>
      <w:r>
        <w:t xml:space="preserve">• Number of monitored assets (motors, pumps, fans, gearboxes)</w:t>
      </w:r>
    </w:p>
    <w:p>
      <w:pPr>
        <w:pStyle w:val="ListParagraph"/>
      </w:pPr>
      <w:r>
        <w:t xml:space="preserve">• Nodes per asset: default 2. Use 3 for gearbox trains.</w:t>
      </w:r>
    </w:p>
    <w:p>
      <w:pPr>
        <w:pStyle w:val="ListParagraph"/>
      </w:pPr>
      <w:r>
        <w:t xml:space="preserve">• Number of TS-4 gateways: one per 64 nodes as a hard limit. For radio coverage, plan one per 40 nodes in dense steel plant.</w:t>
      </w:r>
    </w:p>
    <w:p>
      <w:pPr>
        <w:pStyle w:val="ListParagraph"/>
      </w:pPr>
      <w:r>
        <w:t xml:space="preserve">• Gateway backhaul: TS4-GW-LTE or TS4-GW-ETH</w:t>
      </w:r>
    </w:p>
    <w:p>
      <w:pPr>
        <w:pStyle w:val="ListParagraph"/>
      </w:pPr>
      <w:r>
        <w:t xml:space="preserve">• Subscription plan: TC-SUB-STD or TC-SUB-ENT</w:t>
      </w:r>
    </w:p>
    <w:p>
      <w:pPr>
        <w:pStyle w:val="ListParagraph"/>
      </w:pPr>
      <w:r>
        <w:t xml:space="preserve">• Installation labour: default 1.5 engineer-hours per node at the customer's labour rate</w:t>
      </w:r>
    </w:p>
    <w:p>
      <w:pPr>
        <w:pStyle w:val="Heading3"/>
      </w:pPr>
      <w:r>
        <w:rPr>
          <w:b/>
          <w:sz w:val="22"/>
        </w:rPr>
        <w:t xml:space="preserve">Current-state inputs</w:t>
      </w:r>
    </w:p>
    <w:p>
      <w:pPr>
        <w:pStyle w:val="ListParagraph"/>
      </w:pPr>
      <w:r>
        <w:t xml:space="preserve">• Unplanned downtime hours per year on the monitored assets</w:t>
      </w:r>
    </w:p>
    <w:p>
      <w:pPr>
        <w:pStyle w:val="ListParagraph"/>
      </w:pPr>
      <w:r>
        <w:t xml:space="preserve">• Cost of one hour of downtime</w:t>
      </w:r>
    </w:p>
    <w:p>
      <w:pPr>
        <w:pStyle w:val="ListParagraph"/>
      </w:pPr>
      <w:r>
        <w:t xml:space="preserve">• Route-based collection cost: technician hours per month, times labour rate</w:t>
      </w:r>
    </w:p>
    <w:p>
      <w:pPr>
        <w:pStyle w:val="ListParagraph"/>
      </w:pPr>
      <w:r>
        <w:t xml:space="preserve">• Annual reactive maintenance spend on the monitored assets</w:t>
      </w:r>
    </w:p>
    <w:p>
      <w:pPr>
        <w:pStyle w:val="Heading3"/>
      </w:pPr>
      <w:r>
        <w:rPr>
          <w:b/>
          <w:sz w:val="22"/>
        </w:rPr>
        <w:t xml:space="preserve">Improvement assumptions (defaults)</w:t>
      </w:r>
    </w:p>
    <w:p>
      <w:pPr>
        <w:pStyle w:val="ListParagraph"/>
      </w:pPr>
      <w:r>
        <w:t xml:space="preserve">• Unplanned downtime reduction: 35%</w:t>
      </w:r>
    </w:p>
    <w:p>
      <w:pPr>
        <w:pStyle w:val="ListParagraph"/>
      </w:pPr>
      <w:r>
        <w:t xml:space="preserve">• Reactive maintenance spend reduction: 20%</w:t>
      </w:r>
    </w:p>
    <w:p>
      <w:pPr>
        <w:pStyle w:val="ListParagraph"/>
      </w:pPr>
      <w:r>
        <w:t xml:space="preserve">• Route-based collection eliminated: 80% (some manual rounds normally remain)</w:t>
      </w:r>
    </w:p>
    <w:p>
      <w:r>
        <w:t xml:space="preserve">These defaults are deliberately conservative. They come from the median of eleven Tessera reference sites measured in FY2024/25. Do not raise the downtime reduction above 50% without a documented customer baseline.</w:t>
      </w:r>
    </w:p>
    <w:p>
      <w:pPr>
        <w:pStyle w:val="Heading2"/>
      </w:pPr>
      <w:r>
        <w:rPr>
          <w:b/>
          <w:sz w:val="26"/>
        </w:rPr>
        <w:t xml:space="preserve">3. Cost model</w:t>
      </w:r>
    </w:p>
    <w:p>
      <w:r>
        <w:t xml:space="preserve">The calculator uses FY2025/26 list prices from the Hardware and Subscription Price List (sales-price-list-fy25-26) and applies any approved discount you enter. Hardware is treated as a year-zero capital cost. Subscriptions are an annual operating cost billed per asset, not per node. TS-4e node batteries last about 5 years at 1 sample per hour, so no battery replacement falls within the three-year horizon. If the customer configures faster sampling, enter a battery replacement cost in year 3.</w:t>
      </w:r>
    </w:p>
    <w:p>
      <w:r>
        <w:t xml:space="preserve">Support contracts are optional in the model. If you include one, take the per-site price from the Support Contract Price List FY2025/26.</w:t>
      </w:r>
    </w:p>
    <w:p>
      <w:pPr>
        <w:pStyle w:val="Heading2"/>
      </w:pPr>
      <w:r>
        <w:rPr>
          <w:b/>
          <w:sz w:val="26"/>
        </w:rPr>
        <w:t xml:space="preserve">4. Worked example (UK, GBP list prices)</w:t>
      </w:r>
    </w:p>
    <w:p>
      <w:r>
        <w:t xml:space="preserve">A water company pumping station site with 40 critical pumps and motors.</w:t>
      </w:r>
    </w:p>
    <w:p>
      <w:pPr>
        <w:pStyle w:val="Heading3"/>
      </w:pPr>
      <w:r>
        <w:rPr>
          <w:b/>
          <w:sz w:val="22"/>
        </w:rPr>
        <w:t xml:space="preserve">Deployment</w:t>
      </w:r>
    </w:p>
    <w:p>
      <w:pPr>
        <w:pStyle w:val="ListParagraph"/>
      </w:pPr>
      <w:r>
        <w:t xml:space="preserve">• 40 assets, 2 nodes each = 80 TS4E-NODE-3AX</w:t>
      </w:r>
    </w:p>
    <w:p>
      <w:pPr>
        <w:pStyle w:val="ListParagraph"/>
      </w:pPr>
      <w:r>
        <w:t xml:space="preserve">• 2 x TS4-GW-LTE gateways (80 nodes exceeds one gateway's 64-node limit)</w:t>
      </w:r>
    </w:p>
    <w:p>
      <w:pPr>
        <w:pStyle w:val="ListParagraph"/>
      </w:pPr>
      <w:r>
        <w:t xml:space="preserve">• TC-SUB-STD for 40 assets</w:t>
      </w:r>
    </w:p>
    <w:p>
      <w:pPr>
        <w:pStyle w:val="ListParagraph"/>
      </w:pPr>
      <w:r>
        <w:t xml:space="preserve">• Professional support for 1 site</w:t>
      </w:r>
    </w:p>
    <w:p>
      <w:pPr>
        <w:pStyle w:val="Heading3"/>
      </w:pPr>
      <w:r>
        <w:rPr>
          <w:b/>
          <w:sz w:val="22"/>
        </w:rPr>
        <w:t xml:space="preserve">Costs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Calculation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GBP</w:t>
            </w:r>
          </w:p>
        </w:tc>
      </w:tr>
      <w:tr>
        <w:tc>
          <w:tcPr>
            <w:tcW w:w="0" w:type="auto"/>
          </w:tcPr>
          <w:p>
            <w:r>
              <w:t xml:space="preserve">Edge nodes</w:t>
            </w:r>
          </w:p>
        </w:tc>
        <w:tc>
          <w:tcPr>
            <w:tcW w:w="0" w:type="auto"/>
          </w:tcPr>
          <w:p>
            <w:r>
              <w:t xml:space="preserve">80 x 640</w:t>
            </w:r>
          </w:p>
        </w:tc>
        <w:tc>
          <w:tcPr>
            <w:tcW w:w="0" w:type="auto"/>
          </w:tcPr>
          <w:p>
            <w:r>
              <w:t xml:space="preserve">51,200</w:t>
            </w:r>
          </w:p>
        </w:tc>
      </w:tr>
      <w:tr>
        <w:tc>
          <w:tcPr>
            <w:tcW w:w="0" w:type="auto"/>
          </w:tcPr>
          <w:p>
            <w:r>
              <w:t xml:space="preserve">Volume break on nodes (25-99 units, 5%)</w:t>
            </w:r>
          </w:p>
        </w:tc>
        <w:tc>
          <w:tcPr>
            <w:tcW w:w="0" w:type="auto"/>
          </w:tcPr>
          <w:p>
            <w:r>
              <w:t xml:space="preserve">51,200 x 5%</w:t>
            </w:r>
          </w:p>
        </w:tc>
        <w:tc>
          <w:tcPr>
            <w:tcW w:w="0" w:type="auto"/>
          </w:tcPr>
          <w:p>
            <w:r>
              <w:t xml:space="preserve">-2,560</w:t>
            </w:r>
          </w:p>
        </w:tc>
      </w:tr>
      <w:tr>
        <w:tc>
          <w:tcPr>
            <w:tcW w:w="0" w:type="auto"/>
          </w:tcPr>
          <w:p>
            <w:r>
              <w:t xml:space="preserve">Gateways</w:t>
            </w:r>
          </w:p>
        </w:tc>
        <w:tc>
          <w:tcPr>
            <w:tcW w:w="0" w:type="auto"/>
          </w:tcPr>
          <w:p>
            <w:r>
              <w:t xml:space="preserve">2 x 1,980</w:t>
            </w:r>
          </w:p>
        </w:tc>
        <w:tc>
          <w:tcPr>
            <w:tcW w:w="0" w:type="auto"/>
          </w:tcPr>
          <w:p>
            <w:r>
              <w:t xml:space="preserve">3,960</w:t>
            </w:r>
          </w:p>
        </w:tc>
      </w:tr>
      <w:tr>
        <w:tc>
          <w:tcPr>
            <w:tcW w:w="0" w:type="auto"/>
          </w:tcPr>
          <w:p>
            <w:r>
              <w:t xml:space="preserve">Installation</w:t>
            </w:r>
          </w:p>
        </w:tc>
        <w:tc>
          <w:tcPr>
            <w:tcW w:w="0" w:type="auto"/>
          </w:tcPr>
          <w:p>
            <w:r>
              <w:t xml:space="preserve">80 x 1.5 h x GBP 65</w:t>
            </w:r>
          </w:p>
        </w:tc>
        <w:tc>
          <w:tcPr>
            <w:tcW w:w="0" w:type="auto"/>
          </w:tcPr>
          <w:p>
            <w:r>
              <w:t xml:space="preserve">7,800</w:t>
            </w:r>
          </w:p>
        </w:tc>
      </w:tr>
      <w:tr>
        <w:tc>
          <w:tcPr>
            <w:tcW w:w="0" w:type="auto"/>
          </w:tcPr>
          <w:p>
            <w:r>
              <w:t xml:space="preserve">Year-zero capital total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60,400</w:t>
            </w:r>
          </w:p>
        </w:tc>
      </w:tr>
      <w:tr>
        <w:tc>
          <w:tcPr>
            <w:tcW w:w="0" w:type="auto"/>
          </w:tcPr>
          <w:p>
            <w:r>
              <w:t xml:space="preserve">TesseraCloud Standard</w:t>
            </w:r>
          </w:p>
        </w:tc>
        <w:tc>
          <w:tcPr>
            <w:tcW w:w="0" w:type="auto"/>
          </w:tcPr>
          <w:p>
            <w:r>
              <w:t xml:space="preserve">40 x 84 per year</w:t>
            </w:r>
          </w:p>
        </w:tc>
        <w:tc>
          <w:tcPr>
            <w:tcW w:w="0" w:type="auto"/>
          </w:tcPr>
          <w:p>
            <w:r>
              <w:t xml:space="preserve">3,360 per year</w:t>
            </w:r>
          </w:p>
        </w:tc>
      </w:tr>
      <w:tr>
        <w:tc>
          <w:tcPr>
            <w:tcW w:w="0" w:type="auto"/>
          </w:tcPr>
          <w:p>
            <w:r>
              <w:t xml:space="preserve">Professional support</w:t>
            </w:r>
          </w:p>
        </w:tc>
        <w:tc>
          <w:tcPr>
            <w:tcW w:w="0" w:type="auto"/>
          </w:tcPr>
          <w:p>
            <w:r>
              <w:t xml:space="preserve">1 site</w:t>
            </w:r>
          </w:p>
        </w:tc>
        <w:tc>
          <w:tcPr>
            <w:tcW w:w="0" w:type="auto"/>
          </w:tcPr>
          <w:p>
            <w:r>
              <w:t xml:space="preserve">3,600 per year</w:t>
            </w:r>
          </w:p>
        </w:tc>
      </w:tr>
      <w:tr>
        <w:tc>
          <w:tcPr>
            <w:tcW w:w="0" w:type="auto"/>
          </w:tcPr>
          <w:p>
            <w:r>
              <w:t xml:space="preserve">Annual operating total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6,960 per year</w:t>
            </w:r>
          </w:p>
        </w:tc>
      </w:tr>
    </w:tbl>
    <w:p/>
    <w:p>
      <w:pPr>
        <w:pStyle w:val="Heading3"/>
      </w:pPr>
      <w:r>
        <w:rPr>
          <w:b/>
          <w:sz w:val="22"/>
        </w:rPr>
        <w:t xml:space="preserve">Benefits (customer figures)</w:t>
      </w:r>
    </w:p>
    <w:p>
      <w:pPr>
        <w:pStyle w:val="ListParagraph"/>
      </w:pPr>
      <w:r>
        <w:t xml:space="preserve">• Unplanned downtime: 120 hours per year at GBP 1,400 per hour = GBP 168,000. A 35% reduction saves GBP 58,800 per year.</w:t>
      </w:r>
    </w:p>
    <w:p>
      <w:pPr>
        <w:pStyle w:val="ListParagraph"/>
      </w:pPr>
      <w:r>
        <w:t xml:space="preserve">• Route-based collection: 16 hours per month at GBP 65 = GBP 12,480 per year. Eliminating 80% saves GBP 9,984 per year.</w:t>
      </w:r>
    </w:p>
    <w:p>
      <w:pPr>
        <w:pStyle w:val="ListParagraph"/>
      </w:pPr>
      <w:r>
        <w:t xml:space="preserve">• Reactive maintenance: GBP 95,000 per year. A 20% reduction saves GBP 19,000 per year.</w:t>
      </w:r>
    </w:p>
    <w:p>
      <w:pPr>
        <w:pStyle w:val="ListParagraph"/>
      </w:pPr>
      <w:r>
        <w:t xml:space="preserve">• Total annual benefit: GBP 87,784</w:t>
      </w:r>
    </w:p>
    <w:p>
      <w:pPr>
        <w:pStyle w:val="Heading3"/>
      </w:pPr>
      <w:r>
        <w:rPr>
          <w:b/>
          <w:sz w:val="22"/>
        </w:rPr>
        <w:t xml:space="preserve">Results</w:t>
      </w:r>
    </w:p>
    <w:p>
      <w:pPr>
        <w:pStyle w:val="ListParagraph"/>
      </w:pPr>
      <w:r>
        <w:t xml:space="preserve">• Net annual benefit: 87,784 - 6,960 = GBP 80,824</w:t>
      </w:r>
    </w:p>
    <w:p>
      <w:pPr>
        <w:pStyle w:val="ListParagraph"/>
      </w:pPr>
      <w:r>
        <w:t xml:space="preserve">• Simple payback: 60,400 / 80,824 = 0.75 years, about 9 months</w:t>
      </w:r>
    </w:p>
    <w:p>
      <w:pPr>
        <w:pStyle w:val="ListParagraph"/>
      </w:pPr>
      <w:r>
        <w:t xml:space="preserve">• Three-year net return: (3 x 80,824) - 60,400 = GBP 182,072</w:t>
      </w:r>
    </w:p>
    <w:p>
      <w:pPr>
        <w:pStyle w:val="Heading2"/>
      </w:pPr>
      <w:r>
        <w:rPr>
          <w:b/>
          <w:sz w:val="26"/>
        </w:rPr>
        <w:t xml:space="preserve">5. Presenting results</w:t>
      </w:r>
    </w:p>
    <w:p>
      <w:pPr>
        <w:pStyle w:val="ListParagraph"/>
      </w:pPr>
      <w:r>
        <w:t xml:space="preserve">• Show the payback period first. Finance teams respond to months to payback more than to percentages.</w:t>
      </w:r>
    </w:p>
    <w:p>
      <w:pPr>
        <w:pStyle w:val="ListParagraph"/>
      </w:pPr>
      <w:r>
        <w:t xml:space="preserve">• Always show the sensitivity tab. It halves each improvement assumption. For the example above, payback at half benefits is about 20 months.</w:t>
      </w:r>
    </w:p>
    <w:p>
      <w:pPr>
        <w:pStyle w:val="ListParagraph"/>
      </w:pPr>
      <w:r>
        <w:t xml:space="preserve">• If the customer chooses TC-SUB-ENT, point out the longer raw data retention: 36 months against 13 months on Standard. Reliability engineers often need it for seasonal trend analysis.</w:t>
      </w:r>
    </w:p>
    <w:p>
      <w:pPr>
        <w:pStyle w:val="ListParagraph"/>
      </w:pPr>
      <w:r>
        <w:t xml:space="preserve">• Do not present ROI figures as a guarantee. The calculator footer carries the standard disclaimer. Do not remove it.</w:t>
      </w:r>
    </w:p>
    <w:p>
      <w:pPr>
        <w:pStyle w:val="Heading2"/>
      </w:pPr>
      <w:r>
        <w:rPr>
          <w:b/>
          <w:sz w:val="26"/>
        </w:rPr>
        <w:t xml:space="preserve">6. Common mistakes</w:t>
      </w:r>
    </w:p>
    <w:p>
      <w:pPr>
        <w:pStyle w:val="ListParagraph"/>
      </w:pPr>
      <w:r>
        <w:t xml:space="preserve">• Billing subscriptions per node instead of per asset. This overstates operating cost by the node-per-asset ratio.</w:t>
      </w:r>
    </w:p>
    <w:p>
      <w:pPr>
        <w:pStyle w:val="ListParagraph"/>
      </w:pPr>
      <w:r>
        <w:t xml:space="preserve">• Forgetting the second gateway once node count exceeds 64.</w:t>
      </w:r>
    </w:p>
    <w:p>
      <w:pPr>
        <w:pStyle w:val="ListParagraph"/>
      </w:pPr>
      <w:r>
        <w:t xml:space="preserve">• Quoting TS4E-NODE-3AX for hazardous areas. Zone 2 needs the TS4E-NODE-3AX-Z2 variant, priced through the deal desk.</w:t>
      </w:r>
    </w:p>
    <w:p>
      <w:pPr>
        <w:pStyle w:val="ListParagraph"/>
      </w:pPr>
      <w:r>
        <w:t xml:space="preserve">• Applying a partner discount and a volume break without checking the total against the Sales Discount Approval Matrix.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Tessera ROI Calculator Guide</dc:title>
  <dc:creator>Meridian Instruments</dc:creator>
</cp:coreProperties>
</file>