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80"/>
        <w:jc w:val="center"/>
      </w:pPr>
      <w:r>
        <w:rPr>
          <w:rFonts w:ascii="Arial" w:hAnsi="Arial"/>
          <w:b/>
          <w:color w:val="00B7D3"/>
          <w:sz w:val="36"/>
        </w:rPr>
        <w:t>IJDC-SPEC-1.4</w:t>
      </w:r>
    </w:p>
    <w:p>
      <w:pPr>
        <w:jc w:val="center"/>
      </w:pPr>
    </w:p>
    <w:p>
      <w:pPr>
        <w:spacing w:after="20"/>
        <w:jc w:val="center"/>
      </w:pPr>
      <w:r>
        <w:rPr>
          <w:rFonts w:ascii="Arial" w:hAnsi="Arial"/>
          <w:b/>
          <w:color w:val="666666"/>
          <w:sz w:val="18"/>
        </w:rPr>
        <w:t>Inflection Journal Data Container - Format Specification</w:t>
      </w:r>
    </w:p>
    <w:p>
      <w:pPr>
        <w:spacing w:after="20"/>
        <w:jc w:val="center"/>
      </w:pPr>
      <w:r>
        <w:rPr>
          <w:rFonts w:ascii="Arial" w:hAnsi="Arial"/>
          <w:b/>
          <w:color w:val="666666"/>
          <w:sz w:val="16"/>
        </w:rPr>
        <w:t>Version 1.4  |  Effective March 9, 2026</w:t>
      </w:r>
    </w:p>
    <w:p>
      <w:pPr>
        <w:spacing w:after="20"/>
        <w:jc w:val="center"/>
      </w:pPr>
      <w:r>
        <w:rPr>
          <w:rFonts w:ascii="Arial" w:hAnsi="Arial"/>
          <w:b w:val="0"/>
          <w:color w:val="666666"/>
          <w:sz w:val="15"/>
        </w:rPr>
        <w:t>Author: Juanita Chronowski / http://www.jack-in.com</w:t>
      </w:r>
    </w:p>
    <w:p>
      <w:pPr>
        <w:spacing w:after="20"/>
        <w:jc w:val="center"/>
      </w:pPr>
      <w:r>
        <w:rPr>
          <w:rFonts w:ascii="Arial" w:hAnsi="Arial"/>
          <w:b w:val="0"/>
          <w:color w:val="666666"/>
          <w:sz w:val="15"/>
        </w:rPr>
        <w:t>Replaces: IJDC-SPEC-1.2</w:t>
      </w:r>
    </w:p>
    <w:p>
      <w:pPr>
        <w:spacing w:before="240" w:after="120"/>
        <w:pBdr>
          <w:bottom w:val="single" w:sz="8" w:space="1" w:color="00B7D3"/>
        </w:pBdr>
      </w:pPr>
      <w:r>
        <w:rPr>
          <w:rFonts w:ascii="Arial" w:hAnsi="Arial"/>
          <w:b/>
          <w:color w:val="00B7D3"/>
          <w:sz w:val="24"/>
        </w:rPr>
        <w:t>Change Log</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936"/>
            <w:shd w:fill="333333"/>
            <w:tcMar>
              <w:top w:w="90" w:type="dxa"/>
              <w:start w:w="90" w:type="dxa"/>
              <w:bottom w:w="90" w:type="dxa"/>
              <w:end w:w="90" w:type="dxa"/>
            </w:tcMar>
            <w:vAlign w:val="center"/>
          </w:tcPr>
          <w:p>
            <w:pPr>
              <w:spacing w:after="0"/>
            </w:pPr>
            <w:r>
              <w:rPr>
                <w:rFonts w:ascii="Arial" w:hAnsi="Arial"/>
                <w:b/>
                <w:color w:val="FFFFFF"/>
                <w:sz w:val="17"/>
              </w:rPr>
              <w:t>Version</w:t>
            </w:r>
          </w:p>
        </w:tc>
        <w:tc>
          <w:tcPr>
            <w:tcW w:type="dxa" w:w="1440"/>
            <w:shd w:fill="333333"/>
            <w:tcMar>
              <w:top w:w="90" w:type="dxa"/>
              <w:start w:w="90" w:type="dxa"/>
              <w:bottom w:w="90" w:type="dxa"/>
              <w:end w:w="90" w:type="dxa"/>
            </w:tcMar>
            <w:vAlign w:val="center"/>
          </w:tcPr>
          <w:p>
            <w:pPr>
              <w:spacing w:after="0"/>
            </w:pPr>
            <w:r>
              <w:rPr>
                <w:rFonts w:ascii="Arial" w:hAnsi="Arial"/>
                <w:b/>
                <w:color w:val="FFFFFF"/>
                <w:sz w:val="17"/>
              </w:rPr>
              <w:t>Date</w:t>
            </w:r>
          </w:p>
        </w:tc>
        <w:tc>
          <w:tcPr>
            <w:tcW w:type="dxa" w:w="6552"/>
            <w:shd w:fill="333333"/>
            <w:tcMar>
              <w:top w:w="90" w:type="dxa"/>
              <w:start w:w="90" w:type="dxa"/>
              <w:bottom w:w="90" w:type="dxa"/>
              <w:end w:w="90" w:type="dxa"/>
            </w:tcMar>
            <w:vAlign w:val="center"/>
          </w:tcPr>
          <w:p>
            <w:pPr>
              <w:spacing w:after="0"/>
            </w:pPr>
            <w:r>
              <w:rPr>
                <w:rFonts w:ascii="Arial" w:hAnsi="Arial"/>
                <w:b/>
                <w:color w:val="FFFFFF"/>
                <w:sz w:val="17"/>
              </w:rPr>
              <w:t>Description</w:t>
            </w:r>
          </w:p>
        </w:tc>
      </w:tr>
      <w:tr>
        <w:tc>
          <w:tcPr>
            <w:tcW w:type="dxa" w:w="936"/>
            <w:tcMar>
              <w:top w:w="85" w:type="dxa"/>
              <w:start w:w="90" w:type="dxa"/>
              <w:bottom w:w="85" w:type="dxa"/>
              <w:end w:w="90" w:type="dxa"/>
            </w:tcMar>
            <w:vAlign w:val="center"/>
          </w:tcPr>
          <w:p>
            <w:pPr>
              <w:spacing w:after="0"/>
            </w:pPr>
            <w:r>
              <w:rPr>
                <w:rFonts w:ascii="Arial" w:hAnsi="Arial"/>
                <w:color w:val="222222"/>
                <w:sz w:val="16"/>
              </w:rPr>
              <w:t>1.4</w:t>
            </w:r>
          </w:p>
        </w:tc>
        <w:tc>
          <w:tcPr>
            <w:tcW w:type="dxa" w:w="1440"/>
            <w:tcMar>
              <w:top w:w="85" w:type="dxa"/>
              <w:start w:w="90" w:type="dxa"/>
              <w:bottom w:w="85" w:type="dxa"/>
              <w:end w:w="90" w:type="dxa"/>
            </w:tcMar>
            <w:vAlign w:val="center"/>
          </w:tcPr>
          <w:p>
            <w:pPr>
              <w:spacing w:after="0"/>
            </w:pPr>
            <w:r>
              <w:rPr>
                <w:rFonts w:ascii="Arial" w:hAnsi="Arial"/>
                <w:color w:val="222222"/>
                <w:sz w:val="16"/>
              </w:rPr>
              <w:t>2026-03-09</w:t>
            </w:r>
          </w:p>
        </w:tc>
        <w:tc>
          <w:tcPr>
            <w:tcW w:type="dxa" w:w="6552"/>
            <w:tcMar>
              <w:top w:w="85" w:type="dxa"/>
              <w:start w:w="90" w:type="dxa"/>
              <w:bottom w:w="85" w:type="dxa"/>
              <w:end w:w="90" w:type="dxa"/>
            </w:tcMar>
            <w:vAlign w:val="center"/>
          </w:tcPr>
          <w:p>
            <w:pPr>
              <w:spacing w:after="0"/>
            </w:pPr>
            <w:r>
              <w:rPr>
                <w:rFonts w:ascii="Arial" w:hAnsi="Arial"/>
                <w:color w:val="222222"/>
                <w:sz w:val="16"/>
              </w:rPr>
              <w:t>Documents display-first security rules, parser tolerance notes, block retrieval helpers, repeated-field patterns, code-safe storage, and AI-facing guidance. Adds direct examples from live parser and sample-record usage.</w:t>
            </w:r>
          </w:p>
        </w:tc>
      </w:tr>
      <w:tr>
        <w:tc>
          <w:tcPr>
            <w:tcW w:type="dxa" w:w="936"/>
            <w:tcMar>
              <w:top w:w="85" w:type="dxa"/>
              <w:start w:w="90" w:type="dxa"/>
              <w:bottom w:w="85" w:type="dxa"/>
              <w:end w:w="90" w:type="dxa"/>
            </w:tcMar>
            <w:vAlign w:val="center"/>
          </w:tcPr>
          <w:p>
            <w:pPr>
              <w:spacing w:after="0"/>
            </w:pPr>
            <w:r>
              <w:rPr>
                <w:rFonts w:ascii="Arial" w:hAnsi="Arial"/>
                <w:color w:val="222222"/>
                <w:sz w:val="16"/>
              </w:rPr>
              <w:t>1.2</w:t>
            </w:r>
          </w:p>
        </w:tc>
        <w:tc>
          <w:tcPr>
            <w:tcW w:type="dxa" w:w="1440"/>
            <w:tcMar>
              <w:top w:w="85" w:type="dxa"/>
              <w:start w:w="90" w:type="dxa"/>
              <w:bottom w:w="85" w:type="dxa"/>
              <w:end w:w="90" w:type="dxa"/>
            </w:tcMar>
            <w:vAlign w:val="center"/>
          </w:tcPr>
          <w:p>
            <w:pPr>
              <w:spacing w:after="0"/>
            </w:pPr>
            <w:r>
              <w:rPr>
                <w:rFonts w:ascii="Arial" w:hAnsi="Arial"/>
                <w:color w:val="222222"/>
                <w:sz w:val="16"/>
              </w:rPr>
              <w:t>2026-02-28</w:t>
            </w:r>
          </w:p>
        </w:tc>
        <w:tc>
          <w:tcPr>
            <w:tcW w:type="dxa" w:w="6552"/>
            <w:tcMar>
              <w:top w:w="85" w:type="dxa"/>
              <w:start w:w="90" w:type="dxa"/>
              <w:bottom w:w="85" w:type="dxa"/>
              <w:end w:w="90" w:type="dxa"/>
            </w:tcMar>
            <w:vAlign w:val="center"/>
          </w:tcPr>
          <w:p>
            <w:pPr>
              <w:spacing w:after="0"/>
            </w:pPr>
            <w:r>
              <w:rPr>
                <w:rFonts w:ascii="Arial" w:hAnsi="Arial"/>
                <w:color w:val="222222"/>
                <w:sz w:val="16"/>
              </w:rPr>
              <w:t>Canonical public baseline for scalar, block, repeated-key, form-token, and sanitization rules.</w:t>
            </w:r>
          </w:p>
        </w:tc>
      </w:tr>
    </w:tbl>
    <w:p>
      <w:pPr>
        <w:spacing w:after="40"/>
      </w:pPr>
    </w:p>
    <w:p>
      <w:pPr>
        <w:spacing w:before="240" w:after="120"/>
        <w:pBdr>
          <w:bottom w:val="single" w:sz="8" w:space="1" w:color="00B7D3"/>
        </w:pBdr>
      </w:pPr>
      <w:r>
        <w:rPr>
          <w:rFonts w:ascii="Arial" w:hAnsi="Arial"/>
          <w:b/>
          <w:color w:val="00B7D3"/>
          <w:sz w:val="24"/>
        </w:rPr>
        <w:t>Section 1 - File Identification</w:t>
      </w:r>
    </w:p>
    <w:p>
      <w:pPr>
        <w:pStyle w:val="ListBullet"/>
        <w:spacing w:before="0" w:after="20"/>
        <w:ind w:left="280"/>
      </w:pPr>
      <w:r>
        <w:rPr>
          <w:rFonts w:ascii="Arial" w:hAnsi="Arial"/>
          <w:color w:val="222222"/>
          <w:sz w:val="19"/>
        </w:rPr>
        <w:t>Extension: .ijdc</w:t>
      </w:r>
    </w:p>
    <w:p>
      <w:pPr>
        <w:pStyle w:val="ListBullet"/>
        <w:spacing w:before="0" w:after="20"/>
        <w:ind w:left="280"/>
      </w:pPr>
      <w:r>
        <w:rPr>
          <w:rFonts w:ascii="Arial" w:hAnsi="Arial"/>
          <w:color w:val="222222"/>
          <w:sz w:val="19"/>
        </w:rPr>
        <w:t>First line is the version tag: version:ijdc 1.4</w:t>
      </w:r>
    </w:p>
    <w:p>
      <w:pPr>
        <w:pStyle w:val="ListBullet"/>
        <w:spacing w:before="0" w:after="20"/>
        <w:ind w:left="280"/>
      </w:pPr>
      <w:r>
        <w:rPr>
          <w:rFonts w:ascii="Arial" w:hAnsi="Arial"/>
          <w:color w:val="222222"/>
          <w:sz w:val="19"/>
        </w:rPr>
        <w:t>Version remains informational. Readers should not reject a file solely because the tag differs.</w:t>
      </w:r>
    </w:p>
    <w:p>
      <w:pPr>
        <w:pStyle w:val="ListBullet"/>
        <w:spacing w:before="0" w:after="20"/>
        <w:ind w:left="280"/>
      </w:pPr>
      <w:r>
        <w:rPr>
          <w:rFonts w:ascii="Arial" w:hAnsi="Arial"/>
          <w:color w:val="222222"/>
          <w:sz w:val="19"/>
        </w:rPr>
        <w:t>Filename is the record identifier and connects the file to its owner or purpose.</w:t>
      </w:r>
    </w:p>
    <w:p>
      <w:pPr>
        <w:pStyle w:val="ListBullet"/>
        <w:spacing w:before="0" w:after="20"/>
        <w:ind w:left="280"/>
      </w:pPr>
      <w:r>
        <w:rPr>
          <w:rFonts w:ascii="Arial" w:hAnsi="Arial"/>
          <w:color w:val="222222"/>
          <w:sz w:val="19"/>
        </w:rPr>
        <w:t>UTF-8 encoding is recommended. LF line endings preferred. End the file with a single newline.</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version:ijdc 1.4</w:t>
              <w:br/>
              <w:t>record_type:user_profile</w:t>
              <w:br/>
              <w:t>user_id:100000003</w:t>
            </w:r>
          </w:p>
        </w:tc>
      </w:tr>
    </w:tbl>
    <w:p>
      <w:pPr>
        <w:spacing w:after="40"/>
      </w:pPr>
    </w:p>
    <w:p>
      <w:pPr>
        <w:spacing w:before="240" w:after="120"/>
        <w:pBdr>
          <w:bottom w:val="single" w:sz="8" w:space="1" w:color="00B7D3"/>
        </w:pBdr>
      </w:pPr>
      <w:r>
        <w:rPr>
          <w:rFonts w:ascii="Arial" w:hAnsi="Arial"/>
          <w:b/>
          <w:color w:val="00B7D3"/>
          <w:sz w:val="24"/>
        </w:rPr>
        <w:t>Section 2 - Core Design Principles</w:t>
      </w:r>
    </w:p>
    <w:p>
      <w:pPr>
        <w:spacing w:before="0" w:after="80" w:line="269" w:lineRule="auto"/>
        <w:ind w:left="0"/>
      </w:pPr>
      <w:r>
        <w:rPr>
          <w:rFonts w:ascii="Arial" w:hAnsi="Arial"/>
          <w:b w:val="0"/>
          <w:color w:val="222222"/>
          <w:sz w:val="18"/>
        </w:rPr>
        <w:t>IJDC is a plain-text container built for selective display. The file should remain readable in storage, easy for scripts to parse, and flexible enough to support profiles, content records, notes, repeated lists, and form-like structures.</w:t>
      </w:r>
    </w:p>
    <w:p>
      <w:pPr>
        <w:pStyle w:val="ListBullet"/>
        <w:spacing w:before="0" w:after="20"/>
        <w:ind w:left="280"/>
      </w:pPr>
      <w:r>
        <w:rPr>
          <w:rFonts w:ascii="Arial" w:hAnsi="Arial"/>
          <w:color w:val="222222"/>
          <w:sz w:val="19"/>
        </w:rPr>
        <w:t>Each new line introduces a new field.</w:t>
      </w:r>
    </w:p>
    <w:p>
      <w:pPr>
        <w:pStyle w:val="ListBullet"/>
        <w:spacing w:before="0" w:after="20"/>
        <w:ind w:left="280"/>
      </w:pPr>
      <w:r>
        <w:rPr>
          <w:rFonts w:ascii="Arial" w:hAnsi="Arial"/>
          <w:color w:val="222222"/>
          <w:sz w:val="19"/>
        </w:rPr>
        <w:t>Split on the first colon only.</w:t>
      </w:r>
    </w:p>
    <w:p>
      <w:pPr>
        <w:pStyle w:val="ListBullet"/>
        <w:spacing w:before="0" w:after="20"/>
        <w:ind w:left="280"/>
      </w:pPr>
      <w:r>
        <w:rPr>
          <w:rFonts w:ascii="Arial" w:hAnsi="Arial"/>
          <w:color w:val="222222"/>
          <w:sz w:val="19"/>
        </w:rPr>
        <w:t>Use block markers for multiline, structured, HTML, or special content.</w:t>
      </w:r>
    </w:p>
    <w:p>
      <w:pPr>
        <w:pStyle w:val="ListBullet"/>
        <w:spacing w:before="0" w:after="20"/>
        <w:ind w:left="280"/>
      </w:pPr>
      <w:r>
        <w:rPr>
          <w:rFonts w:ascii="Arial" w:hAnsi="Arial"/>
          <w:color w:val="222222"/>
          <w:sz w:val="19"/>
        </w:rPr>
        <w:t>Keep historical values by dashing them out instead of deleting them.</w:t>
      </w:r>
    </w:p>
    <w:p>
      <w:pPr>
        <w:pStyle w:val="ListBullet"/>
        <w:spacing w:before="0" w:after="20"/>
        <w:ind w:left="280"/>
      </w:pPr>
      <w:r>
        <w:rPr>
          <w:rFonts w:ascii="Arial" w:hAnsi="Arial"/>
          <w:color w:val="222222"/>
          <w:sz w:val="19"/>
        </w:rPr>
        <w:t>Read only what you need and render only what the page needs.</w:t>
      </w:r>
    </w:p>
    <w:p>
      <w:pPr>
        <w:spacing w:before="240" w:after="120"/>
        <w:pBdr>
          <w:bottom w:val="single" w:sz="8" w:space="1" w:color="00B7D3"/>
        </w:pBdr>
      </w:pPr>
      <w:r>
        <w:rPr>
          <w:rFonts w:ascii="Arial" w:hAnsi="Arial"/>
          <w:b/>
          <w:color w:val="00B7D3"/>
          <w:sz w:val="24"/>
        </w:rPr>
        <w:t>Section 3 - Field Syntax</w:t>
      </w:r>
    </w:p>
    <w:p>
      <w:pPr>
        <w:spacing w:before="0" w:after="80" w:line="269" w:lineRule="auto"/>
        <w:ind w:left="0"/>
      </w:pPr>
      <w:r>
        <w:rPr>
          <w:rFonts w:ascii="Arial" w:hAnsi="Arial"/>
          <w:b w:val="0"/>
          <w:color w:val="222222"/>
          <w:sz w:val="18"/>
        </w:rPr>
        <w:t>Scalar fields need no delimiters. Block fields use &lt;&lt;^ and ^&gt;&gt;. Repeated keys are valid and should be gathered into arrays by the consuming code.</w:t>
      </w:r>
    </w:p>
    <w:p>
      <w:pPr>
        <w:spacing w:before="0" w:after="80" w:line="269" w:lineRule="auto"/>
        <w:ind w:left="0"/>
      </w:pPr>
      <w:r>
        <w:rPr>
          <w:rFonts w:ascii="Arial" w:hAnsi="Arial"/>
          <w:b/>
          <w:color w:val="222222"/>
          <w:sz w:val="18"/>
        </w:rPr>
        <w:t>Scalar fields - no delimiters needed</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nickname:Unicorn</w:t>
              <w:br/>
              <w:t>email:juanita@example.com</w:t>
              <w:br/>
              <w:t>record_type:user_profile</w:t>
            </w:r>
          </w:p>
        </w:tc>
      </w:tr>
    </w:tbl>
    <w:p>
      <w:pPr>
        <w:spacing w:after="40"/>
      </w:pPr>
    </w:p>
    <w:p>
      <w:pPr>
        <w:spacing w:before="0" w:after="80" w:line="269" w:lineRule="auto"/>
        <w:ind w:left="0"/>
      </w:pPr>
      <w:r>
        <w:rPr>
          <w:rFonts w:ascii="Arial" w:hAnsi="Arial"/>
          <w:b/>
          <w:color w:val="222222"/>
          <w:sz w:val="18"/>
        </w:rPr>
        <w:t>Block fields - delimiters required</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call_transcribed:&lt;&lt;^some stuff here &lt;img width="20" src='logo.png'&gt; even html^&gt;&gt;</w:t>
            </w:r>
          </w:p>
        </w:tc>
      </w:tr>
    </w:tbl>
    <w:p>
      <w:pPr>
        <w:spacing w:after="40"/>
      </w:pPr>
    </w:p>
    <w:p>
      <w:pPr>
        <w:spacing w:before="0" w:after="80" w:line="269" w:lineRule="auto"/>
        <w:ind w:left="0"/>
      </w:pPr>
      <w:r>
        <w:rPr>
          <w:rFonts w:ascii="Arial" w:hAnsi="Arial"/>
          <w:b/>
          <w:color w:val="222222"/>
          <w:sz w:val="18"/>
        </w:rPr>
        <w:t>Repeated keys - one line per value</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soc_link:www.jack-in.com</w:t>
              <w:br/>
              <w:t>soc_link:facebook.com/juanitac</w:t>
              <w:br/>
              <w:t>soc_link:twitter.com/jchronowski47</w:t>
            </w:r>
          </w:p>
        </w:tc>
      </w:tr>
    </w:tbl>
    <w:p>
      <w:pPr>
        <w:spacing w:after="40"/>
      </w:pPr>
    </w:p>
    <w:p>
      <w:pPr>
        <w:spacing w:before="240" w:after="120"/>
        <w:pBdr>
          <w:bottom w:val="single" w:sz="8" w:space="1" w:color="00B7D3"/>
        </w:pBdr>
      </w:pPr>
      <w:r>
        <w:rPr>
          <w:rFonts w:ascii="Arial" w:hAnsi="Arial"/>
          <w:b/>
          <w:color w:val="00B7D3"/>
          <w:sz w:val="24"/>
        </w:rPr>
        <w:t>Section 4 - Value Types</w:t>
      </w:r>
    </w:p>
    <w:p>
      <w:pPr>
        <w:spacing w:before="0" w:after="80" w:line="269" w:lineRule="auto"/>
        <w:ind w:left="0"/>
      </w:pPr>
      <w:r>
        <w:rPr>
          <w:rFonts w:ascii="Arial" w:hAnsi="Arial"/>
          <w:b/>
          <w:color w:val="222222"/>
          <w:sz w:val="18"/>
        </w:rPr>
        <w:t>4.1 Scalar</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nickname:PinkBird</w:t>
              <w:br/>
              <w:t>country:USA</w:t>
            </w:r>
          </w:p>
        </w:tc>
      </w:tr>
    </w:tbl>
    <w:p>
      <w:pPr>
        <w:spacing w:after="40"/>
      </w:pPr>
    </w:p>
    <w:p>
      <w:pPr>
        <w:spacing w:before="0" w:after="80" w:line="269" w:lineRule="auto"/>
        <w:ind w:left="0"/>
      </w:pPr>
      <w:r>
        <w:rPr>
          <w:rFonts w:ascii="Arial" w:hAnsi="Arial"/>
          <w:b/>
          <w:color w:val="222222"/>
          <w:sz w:val="18"/>
        </w:rPr>
        <w:t>4.2 Repeated key lines</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book:The Design of Everyday Things</w:t>
              <w:br/>
              <w:t>book:Thinking Fast and Slow</w:t>
            </w:r>
          </w:p>
        </w:tc>
      </w:tr>
    </w:tbl>
    <w:p>
      <w:pPr>
        <w:spacing w:after="40"/>
      </w:pPr>
    </w:p>
    <w:p>
      <w:pPr>
        <w:spacing w:before="0" w:after="80" w:line="269" w:lineRule="auto"/>
        <w:ind w:left="0"/>
      </w:pPr>
      <w:r>
        <w:rPr>
          <w:rFonts w:ascii="Arial" w:hAnsi="Arial"/>
          <w:b/>
          <w:color w:val="222222"/>
          <w:sz w:val="18"/>
        </w:rPr>
        <w:t>4.3 Structured block - piped sub-fields</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address:&lt;&lt;^number:123 street|city:Detroit|state:MI|zip:48211^&gt;&gt;</w:t>
            </w:r>
          </w:p>
        </w:tc>
      </w:tr>
    </w:tbl>
    <w:p>
      <w:pPr>
        <w:spacing w:after="40"/>
      </w:pPr>
    </w:p>
    <w:p>
      <w:pPr>
        <w:spacing w:before="0" w:after="80" w:line="269" w:lineRule="auto"/>
        <w:ind w:left="0"/>
      </w:pPr>
      <w:r>
        <w:rPr>
          <w:rFonts w:ascii="Arial" w:hAnsi="Arial"/>
          <w:b/>
          <w:color w:val="222222"/>
          <w:sz w:val="18"/>
        </w:rPr>
        <w:t>4.4 Mixed block with nested content</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book:&lt;&lt;^title:The Red Tent|content:(^(The books description here and maybe some code &amp;lt;strong&amp;gt;bold&amp;lt;/strong&amp;gt;)^)^&gt;&gt;</w:t>
            </w:r>
          </w:p>
        </w:tc>
      </w:tr>
    </w:tbl>
    <w:p>
      <w:pPr>
        <w:spacing w:after="40"/>
      </w:pPr>
    </w:p>
    <w:p>
      <w:pPr>
        <w:spacing w:before="0" w:after="80" w:line="269" w:lineRule="auto"/>
        <w:ind w:left="0"/>
      </w:pPr>
      <w:r>
        <w:rPr>
          <w:rFonts w:ascii="Arial" w:hAnsi="Arial"/>
          <w:b/>
          <w:color w:val="222222"/>
          <w:sz w:val="18"/>
        </w:rPr>
        <w:t>4.5 Historical or invalid values</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-phone:313-333-3333</w:t>
              <w:br/>
              <w:t>phone:313-555-5555</w:t>
            </w:r>
          </w:p>
        </w:tc>
      </w:tr>
    </w:tbl>
    <w:p>
      <w:pPr>
        <w:spacing w:after="40"/>
      </w:pPr>
    </w:p>
    <w:p>
      <w:pPr>
        <w:spacing w:before="240" w:after="120"/>
        <w:pBdr>
          <w:bottom w:val="single" w:sz="8" w:space="1" w:color="00B7D3"/>
        </w:pBdr>
      </w:pPr>
      <w:r>
        <w:rPr>
          <w:rFonts w:ascii="Arial" w:hAnsi="Arial"/>
          <w:b/>
          <w:color w:val="00B7D3"/>
          <w:sz w:val="24"/>
        </w:rPr>
        <w:t>Section 5 - Parsing Behavior</w:t>
      </w:r>
    </w:p>
    <w:p>
      <w:pPr>
        <w:pStyle w:val="ListBullet"/>
        <w:spacing w:before="0" w:after="20"/>
        <w:ind w:left="280"/>
      </w:pPr>
      <w:r>
        <w:rPr>
          <w:rFonts w:ascii="Arial" w:hAnsi="Arial"/>
          <w:color w:val="222222"/>
          <w:sz w:val="19"/>
        </w:rPr>
        <w:t>Read line 1 as the version tag, then continue.</w:t>
      </w:r>
    </w:p>
    <w:p>
      <w:pPr>
        <w:pStyle w:val="ListBullet"/>
        <w:spacing w:before="0" w:after="20"/>
        <w:ind w:left="280"/>
      </w:pPr>
      <w:r>
        <w:rPr>
          <w:rFonts w:ascii="Arial" w:hAnsi="Arial"/>
          <w:color w:val="222222"/>
          <w:sz w:val="19"/>
        </w:rPr>
        <w:t>Every other line is a field. Split on the first colon only.</w:t>
      </w:r>
    </w:p>
    <w:p>
      <w:pPr>
        <w:pStyle w:val="ListBullet"/>
        <w:spacing w:before="0" w:after="20"/>
        <w:ind w:left="280"/>
      </w:pPr>
      <w:r>
        <w:rPr>
          <w:rFonts w:ascii="Arial" w:hAnsi="Arial"/>
          <w:color w:val="222222"/>
          <w:sz w:val="19"/>
        </w:rPr>
        <w:t>If the value starts with &lt;&lt;^ and ends with ^&gt;&gt; on the same line, it is an inline block.</w:t>
      </w:r>
    </w:p>
    <w:p>
      <w:pPr>
        <w:pStyle w:val="ListBullet"/>
        <w:spacing w:before="0" w:after="20"/>
        <w:ind w:left="280"/>
      </w:pPr>
      <w:r>
        <w:rPr>
          <w:rFonts w:ascii="Arial" w:hAnsi="Arial"/>
          <w:color w:val="222222"/>
          <w:sz w:val="19"/>
        </w:rPr>
        <w:t>If the opening marker appears without a same-line close, enter block mode and keep collecting lines until ^&gt;&gt; appears.</w:t>
      </w:r>
    </w:p>
    <w:p>
      <w:pPr>
        <w:pStyle w:val="ListBullet"/>
        <w:spacing w:before="0" w:after="20"/>
        <w:ind w:left="280"/>
      </w:pPr>
      <w:r>
        <w:rPr>
          <w:rFonts w:ascii="Arial" w:hAnsi="Arial"/>
          <w:color w:val="222222"/>
          <w:sz w:val="19"/>
        </w:rPr>
        <w:t>If the same key appears more than once, convert the stored value to a list or array.</w:t>
      </w:r>
    </w:p>
    <w:p>
      <w:pPr>
        <w:pStyle w:val="ListBullet"/>
        <w:spacing w:before="0" w:after="20"/>
        <w:ind w:left="280"/>
      </w:pPr>
      <w:r>
        <w:rPr>
          <w:rFonts w:ascii="Arial" w:hAnsi="Arial"/>
          <w:color w:val="222222"/>
          <w:sz w:val="19"/>
        </w:rPr>
        <w:t>If a key starts with -, treat it as disabled or historical for active display.</w:t>
      </w:r>
    </w:p>
    <w:p>
      <w:pPr>
        <w:pStyle w:val="ListBullet"/>
        <w:spacing w:before="0" w:after="20"/>
        <w:ind w:left="280"/>
      </w:pPr>
      <w:r>
        <w:rPr>
          <w:rFonts w:ascii="Arial" w:hAnsi="Arial"/>
          <w:color w:val="222222"/>
          <w:sz w:val="19"/>
        </w:rPr>
        <w:t>Preserve inner block content unless your display or sanitation layer intentionally transforms it.</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if value_start.lstrip().startswith("&lt;&lt;^"):</w:t>
              <w:br/>
              <w:t xml:space="preserve">    block_key = key</w:t>
              <w:br/>
              <w:t xml:space="preserve">    ...</w:t>
              <w:br/>
              <w:t>else:</w:t>
              <w:br/>
              <w:t xml:space="preserve">    _append(data, key, value_start)</w:t>
            </w:r>
          </w:p>
        </w:tc>
      </w:tr>
    </w:tbl>
    <w:p>
      <w:pPr>
        <w:spacing w:after="40"/>
      </w:pP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F6E9B2"/>
            <w:tcMar>
              <w:top w:w="100" w:type="dxa"/>
              <w:start w:w="110" w:type="dxa"/>
              <w:bottom w:w="100" w:type="dxa"/>
              <w:end w:w="110" w:type="dxa"/>
            </w:tcMar>
          </w:tcPr>
          <w:p>
            <w:pPr>
              <w:spacing w:before="0" w:after="0" w:line="240" w:lineRule="auto"/>
            </w:pPr>
            <w:r>
              <w:rPr>
                <w:rFonts w:ascii="Courier New" w:hAnsi="Courier New"/>
                <w:color w:val="222222"/>
                <w:sz w:val="16"/>
              </w:rPr>
              <w:t>Python note: consecutive lines with 4-space indentation may be treated as a Python block by consuming code when desired.</w:t>
            </w:r>
          </w:p>
        </w:tc>
      </w:tr>
    </w:tbl>
    <w:p>
      <w:pPr>
        <w:spacing w:after="40"/>
      </w:pPr>
    </w:p>
    <w:p>
      <w:pPr>
        <w:spacing w:before="240" w:after="120"/>
        <w:pBdr>
          <w:bottom w:val="single" w:sz="8" w:space="1" w:color="00B7D3"/>
        </w:pBdr>
      </w:pPr>
      <w:r>
        <w:rPr>
          <w:rFonts w:ascii="Arial" w:hAnsi="Arial"/>
          <w:b/>
          <w:color w:val="00B7D3"/>
          <w:sz w:val="24"/>
        </w:rPr>
        <w:t>Section 6 - Code Sanitization and Safe Storage</w:t>
      </w:r>
    </w:p>
    <w:p>
      <w:pPr>
        <w:spacing w:before="0" w:after="80" w:line="269" w:lineRule="auto"/>
        <w:ind w:left="0"/>
      </w:pPr>
      <w:r>
        <w:rPr>
          <w:rFonts w:ascii="Arial" w:hAnsi="Arial"/>
          <w:b w:val="0"/>
          <w:color w:val="222222"/>
          <w:sz w:val="18"/>
        </w:rPr>
        <w:t>Executable tags should be translated to harmless storage tokens on write and restored only when intentionally displaying code samples. This keeps the data file readable without allowing accidental execution.</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3168"/>
            <w:shd w:fill="333333"/>
            <w:tcMar>
              <w:top w:w="90" w:type="dxa"/>
              <w:start w:w="90" w:type="dxa"/>
              <w:bottom w:w="90" w:type="dxa"/>
              <w:end w:w="90" w:type="dxa"/>
            </w:tcMar>
            <w:vAlign w:val="center"/>
          </w:tcPr>
          <w:p>
            <w:pPr>
              <w:spacing w:after="0"/>
            </w:pPr>
            <w:r>
              <w:rPr>
                <w:rFonts w:ascii="Arial" w:hAnsi="Arial"/>
                <w:b/>
                <w:color w:val="FFFFFF"/>
                <w:sz w:val="17"/>
              </w:rPr>
              <w:t>Original Tag</w:t>
            </w:r>
          </w:p>
        </w:tc>
        <w:tc>
          <w:tcPr>
            <w:tcW w:type="dxa" w:w="5760"/>
            <w:shd w:fill="333333"/>
            <w:tcMar>
              <w:top w:w="90" w:type="dxa"/>
              <w:start w:w="90" w:type="dxa"/>
              <w:bottom w:w="90" w:type="dxa"/>
              <w:end w:w="90" w:type="dxa"/>
            </w:tcMar>
            <w:vAlign w:val="center"/>
          </w:tcPr>
          <w:p>
            <w:pPr>
              <w:spacing w:after="0"/>
            </w:pPr>
            <w:r>
              <w:rPr>
                <w:rFonts w:ascii="Arial" w:hAnsi="Arial"/>
                <w:b/>
                <w:color w:val="FFFFFF"/>
                <w:sz w:val="17"/>
              </w:rPr>
              <w:t>Stored As</w:t>
            </w:r>
          </w:p>
        </w:tc>
      </w:tr>
      <w:tr>
        <w:tc>
          <w:tcPr>
            <w:tcW w:type="dxa" w:w="3168"/>
            <w:tcMar>
              <w:top w:w="85" w:type="dxa"/>
              <w:start w:w="90" w:type="dxa"/>
              <w:bottom w:w="85" w:type="dxa"/>
              <w:end w:w="90" w:type="dxa"/>
            </w:tcMar>
            <w:vAlign w:val="center"/>
          </w:tcPr>
          <w:p>
            <w:pPr>
              <w:spacing w:after="0"/>
            </w:pPr>
            <w:r>
              <w:rPr>
                <w:rFonts w:ascii="Arial" w:hAnsi="Arial"/>
                <w:color w:val="222222"/>
                <w:sz w:val="16"/>
              </w:rPr>
              <w:t>&lt;?php</w:t>
            </w:r>
          </w:p>
        </w:tc>
        <w:tc>
          <w:tcPr>
            <w:tcW w:type="dxa" w:w="5760"/>
            <w:tcMar>
              <w:top w:w="85" w:type="dxa"/>
              <w:start w:w="90" w:type="dxa"/>
              <w:bottom w:w="85" w:type="dxa"/>
              <w:end w:w="90" w:type="dxa"/>
            </w:tcMar>
            <w:vAlign w:val="center"/>
          </w:tcPr>
          <w:p>
            <w:pPr>
              <w:spacing w:after="0"/>
            </w:pPr>
            <w:r>
              <w:rPr>
                <w:rFonts w:ascii="Arial" w:hAnsi="Arial"/>
                <w:color w:val="222222"/>
                <w:sz w:val="16"/>
              </w:rPr>
              <w:t>|code|||~php~</w:t>
            </w:r>
          </w:p>
        </w:tc>
      </w:tr>
      <w:tr>
        <w:tc>
          <w:tcPr>
            <w:tcW w:type="dxa" w:w="3168"/>
            <w:tcMar>
              <w:top w:w="85" w:type="dxa"/>
              <w:start w:w="90" w:type="dxa"/>
              <w:bottom w:w="85" w:type="dxa"/>
              <w:end w:w="90" w:type="dxa"/>
            </w:tcMar>
            <w:vAlign w:val="center"/>
          </w:tcPr>
          <w:p>
            <w:pPr>
              <w:spacing w:after="0"/>
            </w:pPr>
            <w:r>
              <w:rPr>
                <w:rFonts w:ascii="Arial" w:hAnsi="Arial"/>
                <w:color w:val="222222"/>
                <w:sz w:val="16"/>
              </w:rPr>
              <w:t>?&gt;</w:t>
            </w:r>
          </w:p>
        </w:tc>
        <w:tc>
          <w:tcPr>
            <w:tcW w:type="dxa" w:w="5760"/>
            <w:tcMar>
              <w:top w:w="85" w:type="dxa"/>
              <w:start w:w="90" w:type="dxa"/>
              <w:bottom w:w="85" w:type="dxa"/>
              <w:end w:w="90" w:type="dxa"/>
            </w:tcMar>
            <w:vAlign w:val="center"/>
          </w:tcPr>
          <w:p>
            <w:pPr>
              <w:spacing w:after="0"/>
            </w:pPr>
            <w:r>
              <w:rPr>
                <w:rFonts w:ascii="Arial" w:hAnsi="Arial"/>
                <w:color w:val="222222"/>
                <w:sz w:val="16"/>
              </w:rPr>
              <w:t>~php~|||code|</w:t>
            </w:r>
          </w:p>
        </w:tc>
      </w:tr>
      <w:tr>
        <w:tc>
          <w:tcPr>
            <w:tcW w:type="dxa" w:w="3168"/>
            <w:tcMar>
              <w:top w:w="85" w:type="dxa"/>
              <w:start w:w="90" w:type="dxa"/>
              <w:bottom w:w="85" w:type="dxa"/>
              <w:end w:w="90" w:type="dxa"/>
            </w:tcMar>
            <w:vAlign w:val="center"/>
          </w:tcPr>
          <w:p>
            <w:pPr>
              <w:spacing w:after="0"/>
            </w:pPr>
            <w:r>
              <w:rPr>
                <w:rFonts w:ascii="Arial" w:hAnsi="Arial"/>
                <w:color w:val="222222"/>
                <w:sz w:val="16"/>
              </w:rPr>
              <w:t>&lt;!DOCTYPE html&gt;</w:t>
            </w:r>
          </w:p>
        </w:tc>
        <w:tc>
          <w:tcPr>
            <w:tcW w:type="dxa" w:w="5760"/>
            <w:tcMar>
              <w:top w:w="85" w:type="dxa"/>
              <w:start w:w="90" w:type="dxa"/>
              <w:bottom w:w="85" w:type="dxa"/>
              <w:end w:w="90" w:type="dxa"/>
            </w:tcMar>
            <w:vAlign w:val="center"/>
          </w:tcPr>
          <w:p>
            <w:pPr>
              <w:spacing w:after="0"/>
            </w:pPr>
            <w:r>
              <w:rPr>
                <w:rFonts w:ascii="Arial" w:hAnsi="Arial"/>
                <w:color w:val="222222"/>
                <w:sz w:val="16"/>
              </w:rPr>
              <w:t>|code|||~!DOCTYPE html~</w:t>
            </w:r>
          </w:p>
        </w:tc>
      </w:tr>
      <w:tr>
        <w:tc>
          <w:tcPr>
            <w:tcW w:type="dxa" w:w="3168"/>
            <w:tcMar>
              <w:top w:w="85" w:type="dxa"/>
              <w:start w:w="90" w:type="dxa"/>
              <w:bottom w:w="85" w:type="dxa"/>
              <w:end w:w="90" w:type="dxa"/>
            </w:tcMar>
            <w:vAlign w:val="center"/>
          </w:tcPr>
          <w:p>
            <w:pPr>
              <w:spacing w:after="0"/>
            </w:pPr>
            <w:r>
              <w:rPr>
                <w:rFonts w:ascii="Arial" w:hAnsi="Arial"/>
                <w:color w:val="222222"/>
                <w:sz w:val="16"/>
              </w:rPr>
              <w:t>&lt;html&gt;</w:t>
            </w:r>
          </w:p>
        </w:tc>
        <w:tc>
          <w:tcPr>
            <w:tcW w:type="dxa" w:w="5760"/>
            <w:tcMar>
              <w:top w:w="85" w:type="dxa"/>
              <w:start w:w="90" w:type="dxa"/>
              <w:bottom w:w="85" w:type="dxa"/>
              <w:end w:w="90" w:type="dxa"/>
            </w:tcMar>
            <w:vAlign w:val="center"/>
          </w:tcPr>
          <w:p>
            <w:pPr>
              <w:spacing w:after="0"/>
            </w:pPr>
            <w:r>
              <w:rPr>
                <w:rFonts w:ascii="Arial" w:hAnsi="Arial"/>
                <w:color w:val="222222"/>
                <w:sz w:val="16"/>
              </w:rPr>
              <w:t>|code|||~html~</w:t>
            </w:r>
          </w:p>
        </w:tc>
      </w:tr>
      <w:tr>
        <w:tc>
          <w:tcPr>
            <w:tcW w:type="dxa" w:w="3168"/>
            <w:tcMar>
              <w:top w:w="85" w:type="dxa"/>
              <w:start w:w="90" w:type="dxa"/>
              <w:bottom w:w="85" w:type="dxa"/>
              <w:end w:w="90" w:type="dxa"/>
            </w:tcMar>
            <w:vAlign w:val="center"/>
          </w:tcPr>
          <w:p>
            <w:pPr>
              <w:spacing w:after="0"/>
            </w:pPr>
            <w:r>
              <w:rPr>
                <w:rFonts w:ascii="Arial" w:hAnsi="Arial"/>
                <w:color w:val="222222"/>
                <w:sz w:val="16"/>
              </w:rPr>
              <w:t>&lt;/html&gt;</w:t>
            </w:r>
          </w:p>
        </w:tc>
        <w:tc>
          <w:tcPr>
            <w:tcW w:type="dxa" w:w="5760"/>
            <w:tcMar>
              <w:top w:w="85" w:type="dxa"/>
              <w:start w:w="90" w:type="dxa"/>
              <w:bottom w:w="85" w:type="dxa"/>
              <w:end w:w="90" w:type="dxa"/>
            </w:tcMar>
            <w:vAlign w:val="center"/>
          </w:tcPr>
          <w:p>
            <w:pPr>
              <w:spacing w:after="0"/>
            </w:pPr>
            <w:r>
              <w:rPr>
                <w:rFonts w:ascii="Arial" w:hAnsi="Arial"/>
                <w:color w:val="222222"/>
                <w:sz w:val="16"/>
              </w:rPr>
              <w:t>~/html~|||code|</w:t>
            </w:r>
          </w:p>
        </w:tc>
      </w:tr>
      <w:tr>
        <w:tc>
          <w:tcPr>
            <w:tcW w:type="dxa" w:w="3168"/>
            <w:tcMar>
              <w:top w:w="85" w:type="dxa"/>
              <w:start w:w="90" w:type="dxa"/>
              <w:bottom w:w="85" w:type="dxa"/>
              <w:end w:w="90" w:type="dxa"/>
            </w:tcMar>
            <w:vAlign w:val="center"/>
          </w:tcPr>
          <w:p>
            <w:pPr>
              <w:spacing w:after="0"/>
            </w:pPr>
            <w:r>
              <w:rPr>
                <w:rFonts w:ascii="Arial" w:hAnsi="Arial"/>
                <w:color w:val="222222"/>
                <w:sz w:val="16"/>
              </w:rPr>
              <w:t>&lt;head&gt;</w:t>
            </w:r>
          </w:p>
        </w:tc>
        <w:tc>
          <w:tcPr>
            <w:tcW w:type="dxa" w:w="5760"/>
            <w:tcMar>
              <w:top w:w="85" w:type="dxa"/>
              <w:start w:w="90" w:type="dxa"/>
              <w:bottom w:w="85" w:type="dxa"/>
              <w:end w:w="90" w:type="dxa"/>
            </w:tcMar>
            <w:vAlign w:val="center"/>
          </w:tcPr>
          <w:p>
            <w:pPr>
              <w:spacing w:after="0"/>
            </w:pPr>
            <w:r>
              <w:rPr>
                <w:rFonts w:ascii="Arial" w:hAnsi="Arial"/>
                <w:color w:val="222222"/>
                <w:sz w:val="16"/>
              </w:rPr>
              <w:t>|code|||~head~</w:t>
            </w:r>
          </w:p>
        </w:tc>
      </w:tr>
      <w:tr>
        <w:tc>
          <w:tcPr>
            <w:tcW w:type="dxa" w:w="3168"/>
            <w:tcMar>
              <w:top w:w="85" w:type="dxa"/>
              <w:start w:w="90" w:type="dxa"/>
              <w:bottom w:w="85" w:type="dxa"/>
              <w:end w:w="90" w:type="dxa"/>
            </w:tcMar>
            <w:vAlign w:val="center"/>
          </w:tcPr>
          <w:p>
            <w:pPr>
              <w:spacing w:after="0"/>
            </w:pPr>
            <w:r>
              <w:rPr>
                <w:rFonts w:ascii="Arial" w:hAnsi="Arial"/>
                <w:color w:val="222222"/>
                <w:sz w:val="16"/>
              </w:rPr>
              <w:t>&lt;/head&gt;</w:t>
            </w:r>
          </w:p>
        </w:tc>
        <w:tc>
          <w:tcPr>
            <w:tcW w:type="dxa" w:w="5760"/>
            <w:tcMar>
              <w:top w:w="85" w:type="dxa"/>
              <w:start w:w="90" w:type="dxa"/>
              <w:bottom w:w="85" w:type="dxa"/>
              <w:end w:w="90" w:type="dxa"/>
            </w:tcMar>
            <w:vAlign w:val="center"/>
          </w:tcPr>
          <w:p>
            <w:pPr>
              <w:spacing w:after="0"/>
            </w:pPr>
            <w:r>
              <w:rPr>
                <w:rFonts w:ascii="Arial" w:hAnsi="Arial"/>
                <w:color w:val="222222"/>
                <w:sz w:val="16"/>
              </w:rPr>
              <w:t>~/head~|||code|</w:t>
            </w:r>
          </w:p>
        </w:tc>
      </w:tr>
      <w:tr>
        <w:tc>
          <w:tcPr>
            <w:tcW w:type="dxa" w:w="3168"/>
            <w:tcMar>
              <w:top w:w="85" w:type="dxa"/>
              <w:start w:w="90" w:type="dxa"/>
              <w:bottom w:w="85" w:type="dxa"/>
              <w:end w:w="90" w:type="dxa"/>
            </w:tcMar>
            <w:vAlign w:val="center"/>
          </w:tcPr>
          <w:p>
            <w:pPr>
              <w:spacing w:after="0"/>
            </w:pPr>
            <w:r>
              <w:rPr>
                <w:rFonts w:ascii="Arial" w:hAnsi="Arial"/>
                <w:color w:val="222222"/>
                <w:sz w:val="16"/>
              </w:rPr>
              <w:t>&lt;body&gt;</w:t>
            </w:r>
          </w:p>
        </w:tc>
        <w:tc>
          <w:tcPr>
            <w:tcW w:type="dxa" w:w="5760"/>
            <w:tcMar>
              <w:top w:w="85" w:type="dxa"/>
              <w:start w:w="90" w:type="dxa"/>
              <w:bottom w:w="85" w:type="dxa"/>
              <w:end w:w="90" w:type="dxa"/>
            </w:tcMar>
            <w:vAlign w:val="center"/>
          </w:tcPr>
          <w:p>
            <w:pPr>
              <w:spacing w:after="0"/>
            </w:pPr>
            <w:r>
              <w:rPr>
                <w:rFonts w:ascii="Arial" w:hAnsi="Arial"/>
                <w:color w:val="222222"/>
                <w:sz w:val="16"/>
              </w:rPr>
              <w:t>|code|||~body~</w:t>
            </w:r>
          </w:p>
        </w:tc>
      </w:tr>
      <w:tr>
        <w:tc>
          <w:tcPr>
            <w:tcW w:type="dxa" w:w="3168"/>
            <w:tcMar>
              <w:top w:w="85" w:type="dxa"/>
              <w:start w:w="90" w:type="dxa"/>
              <w:bottom w:w="85" w:type="dxa"/>
              <w:end w:w="90" w:type="dxa"/>
            </w:tcMar>
            <w:vAlign w:val="center"/>
          </w:tcPr>
          <w:p>
            <w:pPr>
              <w:spacing w:after="0"/>
            </w:pPr>
            <w:r>
              <w:rPr>
                <w:rFonts w:ascii="Arial" w:hAnsi="Arial"/>
                <w:color w:val="222222"/>
                <w:sz w:val="16"/>
              </w:rPr>
              <w:t>&lt;/body&gt;</w:t>
            </w:r>
          </w:p>
        </w:tc>
        <w:tc>
          <w:tcPr>
            <w:tcW w:type="dxa" w:w="5760"/>
            <w:tcMar>
              <w:top w:w="85" w:type="dxa"/>
              <w:start w:w="90" w:type="dxa"/>
              <w:bottom w:w="85" w:type="dxa"/>
              <w:end w:w="90" w:type="dxa"/>
            </w:tcMar>
            <w:vAlign w:val="center"/>
          </w:tcPr>
          <w:p>
            <w:pPr>
              <w:spacing w:after="0"/>
            </w:pPr>
            <w:r>
              <w:rPr>
                <w:rFonts w:ascii="Arial" w:hAnsi="Arial"/>
                <w:color w:val="222222"/>
                <w:sz w:val="16"/>
              </w:rPr>
              <w:t>~/body~|||code|</w:t>
            </w:r>
          </w:p>
        </w:tc>
      </w:tr>
    </w:tbl>
    <w:p>
      <w:pPr>
        <w:spacing w:after="40"/>
      </w:pPr>
    </w:p>
    <w:p>
      <w:pPr>
        <w:spacing w:before="240" w:after="120"/>
        <w:pBdr>
          <w:bottom w:val="single" w:sz="8" w:space="1" w:color="00B7D3"/>
        </w:pBdr>
      </w:pPr>
      <w:r>
        <w:rPr>
          <w:rFonts w:ascii="Arial" w:hAnsi="Arial"/>
          <w:b/>
          <w:color w:val="00B7D3"/>
          <w:sz w:val="24"/>
        </w:rPr>
        <w:t>Section 7 - Retrieval Patterns and Display Helpers</w:t>
      </w:r>
    </w:p>
    <w:p>
      <w:pPr>
        <w:spacing w:before="0" w:after="80" w:line="269" w:lineRule="auto"/>
        <w:ind w:left="0"/>
      </w:pPr>
      <w:r>
        <w:rPr>
          <w:rFonts w:ascii="Arial" w:hAnsi="Arial"/>
          <w:b w:val="0"/>
          <w:color w:val="222222"/>
          <w:sz w:val="18"/>
        </w:rPr>
        <w:t>Different pages may need one field, one block, all repeated values, or a parsed structured block. The file stays simple; the consuming code chooses how much to read.</w:t>
      </w:r>
    </w:p>
    <w:p>
      <w:pPr>
        <w:spacing w:before="0" w:after="80" w:line="269" w:lineRule="auto"/>
        <w:ind w:left="0"/>
      </w:pPr>
      <w:r>
        <w:rPr>
          <w:rFonts w:ascii="Arial" w:hAnsi="Arial"/>
          <w:b/>
          <w:color w:val="222222"/>
          <w:sz w:val="18"/>
        </w:rPr>
        <w:t>Single scalar retrieval</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function show_one_field($fieldname) {</w:t>
              <w:br/>
              <w:t xml:space="preserve">    global $ijdc_path;</w:t>
              <w:br/>
              <w:t xml:space="preserve">    if (!file_exists($ijdc_path)) return '';</w:t>
              <w:br/>
              <w:t xml:space="preserve">    ...</w:t>
              <w:br/>
              <w:t xml:space="preserve">    if (strpos($line, $fieldname . ':') === 0) {</w:t>
              <w:br/>
              <w:t xml:space="preserve">        return trim(substr($line, strlen($fieldname) + 1));</w:t>
              <w:br/>
              <w:t xml:space="preserve">    }</w:t>
              <w:br/>
              <w:t>}</w:t>
            </w:r>
          </w:p>
        </w:tc>
      </w:tr>
    </w:tbl>
    <w:p>
      <w:pPr>
        <w:spacing w:after="40"/>
      </w:pPr>
    </w:p>
    <w:p>
      <w:pPr>
        <w:spacing w:before="0" w:after="80" w:line="269" w:lineRule="auto"/>
        <w:ind w:left="0"/>
      </w:pPr>
      <w:r>
        <w:rPr>
          <w:rFonts w:ascii="Arial" w:hAnsi="Arial"/>
          <w:b/>
          <w:color w:val="222222"/>
          <w:sz w:val="18"/>
        </w:rPr>
        <w:t>Single raw block retrieval</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function get_block_field($fieldname) {</w:t>
              <w:br/>
              <w:t xml:space="preserve">    ...</w:t>
              <w:br/>
              <w:t xml:space="preserve">    if (str_starts_with($value, '&lt;&lt;^') &amp;&amp; str_ends_with($value, '^&gt;&gt;')) {</w:t>
              <w:br/>
              <w:t xml:space="preserve">        return substr($value, 3, -3);</w:t>
              <w:br/>
              <w:t xml:space="preserve">    }</w:t>
              <w:br/>
              <w:t>}</w:t>
            </w:r>
          </w:p>
        </w:tc>
      </w:tr>
    </w:tbl>
    <w:p>
      <w:pPr>
        <w:spacing w:after="40"/>
      </w:pPr>
    </w:p>
    <w:p>
      <w:pPr>
        <w:spacing w:before="0" w:after="80" w:line="269" w:lineRule="auto"/>
        <w:ind w:left="0"/>
      </w:pPr>
      <w:r>
        <w:rPr>
          <w:rFonts w:ascii="Arial" w:hAnsi="Arial"/>
          <w:b/>
          <w:color w:val="222222"/>
          <w:sz w:val="18"/>
        </w:rPr>
        <w:t>Repeated fields as arrays</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function get_all_fields($fieldname) {</w:t>
              <w:br/>
              <w:t xml:space="preserve">    ...</w:t>
              <w:br/>
              <w:t xml:space="preserve">    if (strpos($line, $fieldname . ':') === 0) {</w:t>
              <w:br/>
              <w:t xml:space="preserve">        $results[] = trim(substr($line, strlen($fieldname) + 1));</w:t>
              <w:br/>
              <w:t xml:space="preserve">    }</w:t>
              <w:br/>
              <w:t>}</w:t>
            </w:r>
          </w:p>
        </w:tc>
      </w:tr>
    </w:tbl>
    <w:p>
      <w:pPr>
        <w:spacing w:after="40"/>
      </w:pPr>
    </w:p>
    <w:p>
      <w:pPr>
        <w:spacing w:before="240" w:after="120"/>
        <w:pBdr>
          <w:bottom w:val="single" w:sz="8" w:space="1" w:color="00B7D3"/>
        </w:pBdr>
      </w:pPr>
      <w:r>
        <w:rPr>
          <w:rFonts w:ascii="Arial" w:hAnsi="Arial"/>
          <w:b/>
          <w:color w:val="00B7D3"/>
          <w:sz w:val="24"/>
        </w:rPr>
        <w:t>Section 8 - Structured Blocks and Sub-fields</w:t>
      </w:r>
    </w:p>
    <w:p>
      <w:pPr>
        <w:pStyle w:val="ListBullet"/>
        <w:spacing w:before="0" w:after="20"/>
        <w:ind w:left="280"/>
      </w:pPr>
      <w:r>
        <w:rPr>
          <w:rFonts w:ascii="Arial" w:hAnsi="Arial"/>
          <w:color w:val="222222"/>
          <w:sz w:val="19"/>
        </w:rPr>
        <w:t>Use pipe | to separate sub-fields that belong together as one logical record.</w:t>
      </w:r>
    </w:p>
    <w:p>
      <w:pPr>
        <w:pStyle w:val="ListBullet"/>
        <w:spacing w:before="0" w:after="20"/>
        <w:ind w:left="280"/>
      </w:pPr>
      <w:r>
        <w:rPr>
          <w:rFonts w:ascii="Arial" w:hAnsi="Arial"/>
          <w:color w:val="222222"/>
          <w:sz w:val="19"/>
        </w:rPr>
        <w:t>Inside each sub-field split on the first colon only.</w:t>
      </w:r>
    </w:p>
    <w:p>
      <w:pPr>
        <w:pStyle w:val="ListBullet"/>
        <w:spacing w:before="0" w:after="20"/>
        <w:ind w:left="280"/>
      </w:pPr>
      <w:r>
        <w:rPr>
          <w:rFonts w:ascii="Arial" w:hAnsi="Arial"/>
          <w:color w:val="222222"/>
          <w:sz w:val="19"/>
        </w:rPr>
        <w:t>Omit empty sub-fields rather than writing blank placeholders.</w:t>
      </w:r>
    </w:p>
    <w:p>
      <w:pPr>
        <w:pStyle w:val="ListBullet"/>
        <w:spacing w:before="0" w:after="20"/>
        <w:ind w:left="280"/>
      </w:pPr>
      <w:r>
        <w:rPr>
          <w:rFonts w:ascii="Arial" w:hAnsi="Arial"/>
          <w:color w:val="222222"/>
          <w:sz w:val="19"/>
        </w:rPr>
        <w:t>A structured block may contain a nested content value as long as the reader knows how to split it safely.</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address:&lt;&lt;^number:123 street|city:Detroit|state:MI|zip:48211^&gt;&gt;</w:t>
            </w:r>
          </w:p>
        </w:tc>
      </w:tr>
    </w:tbl>
    <w:p>
      <w:pPr>
        <w:spacing w:after="40"/>
      </w:pP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book:&lt;&lt;^title:The Red Tent|content:(^(The books description here and maybe some code &amp;lt;strong&amp;gt;bold&amp;lt;/strong&amp;gt;)^)^&gt;&gt;</w:t>
            </w:r>
          </w:p>
        </w:tc>
      </w:tr>
    </w:tbl>
    <w:p>
      <w:pPr>
        <w:spacing w:after="40"/>
      </w:pPr>
    </w:p>
    <w:p>
      <w:pPr>
        <w:spacing w:before="240" w:after="120"/>
        <w:pBdr>
          <w:bottom w:val="single" w:sz="8" w:space="1" w:color="00B7D3"/>
        </w:pBdr>
      </w:pPr>
      <w:r>
        <w:rPr>
          <w:rFonts w:ascii="Arial" w:hAnsi="Arial"/>
          <w:b/>
          <w:color w:val="00B7D3"/>
          <w:sz w:val="24"/>
        </w:rPr>
        <w:t>Section 9 - Security and Storage Rules</w:t>
      </w:r>
    </w:p>
    <w:p>
      <w:pPr>
        <w:spacing w:before="0" w:after="80" w:line="269" w:lineRule="auto"/>
        <w:ind w:left="0"/>
      </w:pPr>
      <w:r>
        <w:rPr>
          <w:rFonts w:ascii="Arial" w:hAnsi="Arial"/>
          <w:b w:val="0"/>
          <w:color w:val="222222"/>
          <w:sz w:val="18"/>
        </w:rPr>
        <w:t>IJDC files are storage containers, not public documents. They should not be linked directly or served raw from a public folder.</w:t>
      </w:r>
    </w:p>
    <w:p>
      <w:pPr>
        <w:pStyle w:val="ListBullet"/>
        <w:spacing w:before="0" w:after="20"/>
        <w:ind w:left="280"/>
      </w:pPr>
      <w:r>
        <w:rPr>
          <w:rFonts w:ascii="Arial" w:hAnsi="Arial"/>
          <w:color w:val="222222"/>
          <w:sz w:val="19"/>
        </w:rPr>
        <w:t>Folders holding .ijdc files should be protected so scripts can read them but the public cannot browse or click directly into them.</w:t>
      </w:r>
    </w:p>
    <w:p>
      <w:pPr>
        <w:pStyle w:val="ListBullet"/>
        <w:spacing w:before="0" w:after="20"/>
        <w:ind w:left="280"/>
      </w:pPr>
      <w:r>
        <w:rPr>
          <w:rFonts w:ascii="Arial" w:hAnsi="Arial"/>
          <w:color w:val="222222"/>
          <w:sz w:val="19"/>
        </w:rPr>
        <w:t>The frontend should request only the field or block it needs and then format that output intentionally.</w:t>
      </w:r>
    </w:p>
    <w:p>
      <w:pPr>
        <w:pStyle w:val="ListBullet"/>
        <w:spacing w:before="0" w:after="20"/>
        <w:ind w:left="280"/>
      </w:pPr>
      <w:r>
        <w:rPr>
          <w:rFonts w:ascii="Arial" w:hAnsi="Arial"/>
          <w:color w:val="222222"/>
          <w:sz w:val="19"/>
        </w:rPr>
        <w:t>Do not dump entire records when the page only needs one or two values.</w:t>
      </w:r>
    </w:p>
    <w:p>
      <w:pPr>
        <w:pStyle w:val="ListBullet"/>
        <w:spacing w:before="0" w:after="20"/>
        <w:ind w:left="280"/>
      </w:pPr>
      <w:r>
        <w:rPr>
          <w:rFonts w:ascii="Arial" w:hAnsi="Arial"/>
          <w:color w:val="222222"/>
          <w:sz w:val="19"/>
        </w:rPr>
        <w:t>Treat raw HTML blocks as trusted content only if the storage source is trusted.</w:t>
      </w:r>
    </w:p>
    <w:p>
      <w:pPr>
        <w:pStyle w:val="ListBullet"/>
        <w:spacing w:before="0" w:after="20"/>
        <w:ind w:left="280"/>
      </w:pPr>
      <w:r>
        <w:rPr>
          <w:rFonts w:ascii="Arial" w:hAnsi="Arial"/>
          <w:color w:val="222222"/>
          <w:sz w:val="19"/>
        </w:rPr>
        <w:t>IJDC is data only; display only what you need, the way you want it.</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F6E9B2"/>
            <w:tcMar>
              <w:top w:w="100" w:type="dxa"/>
              <w:start w:w="110" w:type="dxa"/>
              <w:bottom w:w="100" w:type="dxa"/>
              <w:end w:w="110" w:type="dxa"/>
            </w:tcMar>
          </w:tcPr>
          <w:p>
            <w:pPr>
              <w:spacing w:before="0" w:after="0" w:line="240" w:lineRule="auto"/>
            </w:pPr>
            <w:r>
              <w:rPr>
                <w:rFonts w:ascii="Courier New" w:hAnsi="Courier New"/>
                <w:color w:val="222222"/>
                <w:sz w:val="16"/>
              </w:rPr>
              <w:t>Good: read nickname, collect soc_link, render address.city</w:t>
              <w:br/>
              <w:t>Bad: expose /data/record.ijdc as a public file link</w:t>
            </w:r>
          </w:p>
        </w:tc>
      </w:tr>
    </w:tbl>
    <w:p>
      <w:pPr>
        <w:spacing w:after="40"/>
      </w:pPr>
    </w:p>
    <w:p>
      <w:pPr>
        <w:spacing w:before="240" w:after="120"/>
        <w:pBdr>
          <w:bottom w:val="single" w:sz="8" w:space="1" w:color="00B7D3"/>
        </w:pBdr>
      </w:pPr>
      <w:r>
        <w:rPr>
          <w:rFonts w:ascii="Arial" w:hAnsi="Arial"/>
          <w:b/>
          <w:color w:val="00B7D3"/>
          <w:sz w:val="24"/>
        </w:rPr>
        <w:t>Section 10 - AI and Script Consumer Notes</w:t>
      </w:r>
    </w:p>
    <w:p>
      <w:pPr>
        <w:pStyle w:val="ListBullet"/>
        <w:spacing w:before="0" w:after="20"/>
        <w:ind w:left="280"/>
      </w:pPr>
      <w:r>
        <w:rPr>
          <w:rFonts w:ascii="Arial" w:hAnsi="Arial"/>
          <w:color w:val="222222"/>
          <w:sz w:val="19"/>
        </w:rPr>
        <w:t>Do not assume every block is an array. Inspect the content first.</w:t>
      </w:r>
    </w:p>
    <w:p>
      <w:pPr>
        <w:pStyle w:val="ListBullet"/>
        <w:spacing w:before="0" w:after="20"/>
        <w:ind w:left="280"/>
      </w:pPr>
      <w:r>
        <w:rPr>
          <w:rFonts w:ascii="Arial" w:hAnsi="Arial"/>
          <w:color w:val="222222"/>
          <w:sz w:val="19"/>
        </w:rPr>
        <w:t>Do not split structured blocks on every colon; use the first colon only.</w:t>
      </w:r>
    </w:p>
    <w:p>
      <w:pPr>
        <w:pStyle w:val="ListBullet"/>
        <w:spacing w:before="0" w:after="20"/>
        <w:ind w:left="280"/>
      </w:pPr>
      <w:r>
        <w:rPr>
          <w:rFonts w:ascii="Arial" w:hAnsi="Arial"/>
          <w:color w:val="222222"/>
          <w:sz w:val="19"/>
        </w:rPr>
        <w:t>Preserve repeated keys instead of overwriting them.</w:t>
      </w:r>
    </w:p>
    <w:p>
      <w:pPr>
        <w:pStyle w:val="ListBullet"/>
        <w:spacing w:before="0" w:after="20"/>
        <w:ind w:left="280"/>
      </w:pPr>
      <w:r>
        <w:rPr>
          <w:rFonts w:ascii="Arial" w:hAnsi="Arial"/>
          <w:color w:val="222222"/>
          <w:sz w:val="19"/>
        </w:rPr>
        <w:t>Support display-first usage: the same record may be rendered differently on different pages.</w:t>
      </w:r>
    </w:p>
    <w:p>
      <w:pPr>
        <w:pStyle w:val="ListBullet"/>
        <w:spacing w:before="0" w:after="20"/>
        <w:ind w:left="280"/>
      </w:pPr>
      <w:r>
        <w:rPr>
          <w:rFonts w:ascii="Arial" w:hAnsi="Arial"/>
          <w:color w:val="222222"/>
          <w:sz w:val="19"/>
        </w:rPr>
        <w:t>When in doubt, keep storage plain and let the consuming layer decide presentation.</w:t>
      </w:r>
    </w:p>
    <w:p>
      <w:pPr>
        <w:spacing w:before="240" w:after="120"/>
        <w:pBdr>
          <w:bottom w:val="single" w:sz="8" w:space="1" w:color="00B7D3"/>
        </w:pBdr>
      </w:pPr>
      <w:r>
        <w:rPr>
          <w:rFonts w:ascii="Arial" w:hAnsi="Arial"/>
          <w:b/>
          <w:color w:val="00B7D3"/>
          <w:sz w:val="24"/>
        </w:rPr>
        <w:t>Section 11 - Example Record</w:t>
      </w:r>
    </w:p>
    <w:tbl>
      <w:tblPr>
        <w:tblW w:type="auto" w:w="0"/>
        <w:jc w:val="left"/>
        <w:tblLayout w:type="fixed"/>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072"/>
      </w:tblGrid>
      <w:tr>
        <w:tc>
          <w:tcPr>
            <w:tcW w:type="dxa" w:w="10080"/>
            <w:shd w:fill="EDEDED"/>
            <w:tcMar>
              <w:top w:w="100" w:type="dxa"/>
              <w:start w:w="110" w:type="dxa"/>
              <w:bottom w:w="100" w:type="dxa"/>
              <w:end w:w="110" w:type="dxa"/>
            </w:tcMar>
          </w:tcPr>
          <w:p>
            <w:pPr>
              <w:spacing w:before="0" w:after="0" w:line="240" w:lineRule="auto"/>
            </w:pPr>
            <w:r>
              <w:rPr>
                <w:rFonts w:ascii="Courier New" w:hAnsi="Courier New"/>
                <w:color w:val="222222"/>
                <w:sz w:val="16"/>
              </w:rPr>
              <w:t>version:ijdc 1.4</w:t>
              <w:br/>
              <w:t>record_type:user_profile</w:t>
              <w:br/>
              <w:t>user_id:100000003</w:t>
              <w:br/>
              <w:t>dev_comment: This can be any comment</w:t>
              <w:br/>
              <w:t>my_comment: This can also be any comment</w:t>
              <w:br/>
              <w:t>general_comment: If you do not want them to show simply do not call them</w:t>
              <w:br/>
              <w:t>nickname:Unicorn</w:t>
              <w:br/>
              <w:t>soc_link:www.jack-in.com</w:t>
              <w:br/>
              <w:t>soc_link:facebook.com/juanitac</w:t>
              <w:br/>
              <w:t>soc_link:twitter.com/jchronowski47</w:t>
              <w:br/>
              <w:t>call_transcribed:&lt;&lt;^ some stuff here &lt;img width="20" src='logo.png'&gt; even html^&gt;&gt;</w:t>
              <w:br/>
              <w:t>address:&lt;&lt;^number:123 street|city:Detroit|state:MI|zip:48211^&gt;&gt;</w:t>
              <w:br/>
              <w:t>book:&lt;&lt;^title:The Red Tent|content:(^(The books description here and maybe some code &amp;lt;strong&amp;gt;bold&amp;lt;/strong&amp;gt;)^)^&gt;&gt;</w:t>
            </w:r>
          </w:p>
        </w:tc>
      </w:tr>
    </w:tbl>
    <w:p>
      <w:pPr>
        <w:spacing w:after="40"/>
      </w:pPr>
    </w:p>
    <w:p>
      <w:pPr>
        <w:spacing w:before="240" w:after="120"/>
        <w:pBdr>
          <w:bottom w:val="single" w:sz="8" w:space="1" w:color="00B7D3"/>
        </w:pBdr>
      </w:pPr>
      <w:r>
        <w:rPr>
          <w:rFonts w:ascii="Arial" w:hAnsi="Arial"/>
          <w:b/>
          <w:color w:val="00B7D3"/>
          <w:sz w:val="24"/>
        </w:rPr>
        <w:t>Section 12 - Parser Requirements Summary</w:t>
      </w:r>
    </w:p>
    <w:p>
      <w:pPr>
        <w:pStyle w:val="ListBullet"/>
        <w:spacing w:before="0" w:after="20"/>
        <w:ind w:left="280"/>
      </w:pPr>
      <w:r>
        <w:rPr>
          <w:rFonts w:ascii="Arial" w:hAnsi="Arial"/>
          <w:color w:val="222222"/>
          <w:sz w:val="19"/>
        </w:rPr>
        <w:t>Read line 1 as the version tag. Informational only.</w:t>
      </w:r>
    </w:p>
    <w:p>
      <w:pPr>
        <w:pStyle w:val="ListBullet"/>
        <w:spacing w:before="0" w:after="20"/>
        <w:ind w:left="280"/>
      </w:pPr>
      <w:r>
        <w:rPr>
          <w:rFonts w:ascii="Arial" w:hAnsi="Arial"/>
          <w:color w:val="222222"/>
          <w:sz w:val="19"/>
        </w:rPr>
        <w:t>Every new line is a new field. Split on first colon only.</w:t>
      </w:r>
    </w:p>
    <w:p>
      <w:pPr>
        <w:pStyle w:val="ListBullet"/>
        <w:spacing w:before="0" w:after="20"/>
        <w:ind w:left="280"/>
      </w:pPr>
      <w:r>
        <w:rPr>
          <w:rFonts w:ascii="Arial" w:hAnsi="Arial"/>
          <w:color w:val="222222"/>
          <w:sz w:val="19"/>
        </w:rPr>
        <w:t>No &lt;&lt;^ means scalar or repeated scalar.</w:t>
      </w:r>
    </w:p>
    <w:p>
      <w:pPr>
        <w:pStyle w:val="ListBullet"/>
        <w:spacing w:before="0" w:after="20"/>
        <w:ind w:left="280"/>
      </w:pPr>
      <w:r>
        <w:rPr>
          <w:rFonts w:ascii="Arial" w:hAnsi="Arial"/>
          <w:color w:val="222222"/>
          <w:sz w:val="19"/>
        </w:rPr>
        <w:t>&lt;&lt;^ and ^&gt;&gt; on the same line means inline block.</w:t>
      </w:r>
    </w:p>
    <w:p>
      <w:pPr>
        <w:pStyle w:val="ListBullet"/>
        <w:spacing w:before="0" w:after="20"/>
        <w:ind w:left="280"/>
      </w:pPr>
      <w:r>
        <w:rPr>
          <w:rFonts w:ascii="Arial" w:hAnsi="Arial"/>
          <w:color w:val="222222"/>
          <w:sz w:val="19"/>
        </w:rPr>
        <w:t>Opening &lt;&lt;^ without same-line close means block mode.</w:t>
      </w:r>
    </w:p>
    <w:p>
      <w:pPr>
        <w:pStyle w:val="ListBullet"/>
        <w:spacing w:before="0" w:after="20"/>
        <w:ind w:left="280"/>
      </w:pPr>
      <w:r>
        <w:rPr>
          <w:rFonts w:ascii="Arial" w:hAnsi="Arial"/>
          <w:color w:val="222222"/>
          <w:sz w:val="19"/>
        </w:rPr>
        <w:t>Keys beginning with - are historical or invalid markers.</w:t>
      </w:r>
    </w:p>
    <w:p>
      <w:pPr>
        <w:pStyle w:val="ListBullet"/>
        <w:spacing w:before="0" w:after="20"/>
        <w:ind w:left="280"/>
      </w:pPr>
      <w:r>
        <w:rPr>
          <w:rFonts w:ascii="Arial" w:hAnsi="Arial"/>
          <w:color w:val="222222"/>
          <w:sz w:val="19"/>
        </w:rPr>
        <w:t>Repeated keys are collected as arrays.</w:t>
      </w:r>
    </w:p>
    <w:p>
      <w:pPr>
        <w:pStyle w:val="ListBullet"/>
        <w:spacing w:before="0" w:after="20"/>
        <w:ind w:left="280"/>
      </w:pPr>
      <w:r>
        <w:rPr>
          <w:rFonts w:ascii="Arial" w:hAnsi="Arial"/>
          <w:color w:val="222222"/>
          <w:sz w:val="19"/>
        </w:rPr>
        <w:t>Apply safe code restoration only when intentionally displaying code.</w:t>
      </w:r>
    </w:p>
    <w:p>
      <w:pPr>
        <w:pStyle w:val="ListBullet"/>
        <w:spacing w:before="0" w:after="20"/>
        <w:ind w:left="280"/>
      </w:pPr>
      <w:r>
        <w:rPr>
          <w:rFonts w:ascii="Arial" w:hAnsi="Arial"/>
          <w:color w:val="222222"/>
          <w:sz w:val="19"/>
        </w:rPr>
        <w:t>Never expose raw storage folders as direct frontend downloads.</w:t>
      </w:r>
    </w:p>
    <w:p>
      <w:pPr>
        <w:pStyle w:val="ListBullet"/>
        <w:spacing w:before="0" w:after="20"/>
        <w:ind w:left="280"/>
      </w:pPr>
      <w:r>
        <w:rPr>
          <w:rFonts w:ascii="Arial" w:hAnsi="Arial"/>
          <w:color w:val="222222"/>
          <w:sz w:val="19"/>
        </w:rPr>
        <w:t>Never write empty fields if the value is absent.</w:t>
      </w:r>
    </w:p>
    <w:sectPr w:rsidR="00FC693F" w:rsidRPr="0006063C" w:rsidSect="00034616">
      <w:footerReference w:type="default" r:id="rId9"/>
      <w:pgSz w:w="12240" w:h="15840"/>
      <w:pgMar w:top="1008"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 xml:space="preserve">IJDC-SPEC-1.4  |  transparencyregistry.org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