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B2FA0"/>
          <w:sz w:val="16"/>
          <w:szCs w:val="16"/>
          <w:rFonts w:ascii="Calibri" w:cs="Calibri" w:eastAsia="Calibri" w:hAnsi="Calibri"/>
        </w:rPr>
        <w:t xml:space="preserve">Professional Certificate en IA para la Gestión de Proyectos · Continental Florida University</w:t>
      </w:r>
    </w:p>
    <w:p>
      <w:pPr>
        <w:spacing w:after="40"/>
      </w:pPr>
      <w:r>
        <w:rPr>
          <w:b/>
          <w:bCs/>
          <w:color w:val="22102E"/>
          <w:sz w:val="38"/>
          <w:szCs w:val="38"/>
          <w:rFonts w:ascii="Calibri" w:cs="Calibri" w:eastAsia="Calibri" w:hAnsi="Calibri"/>
        </w:rPr>
        <w:t xml:space="preserve">Monitorear y Controlar los Recursos</w:t>
      </w:r>
    </w:p>
    <w:p>
      <w:pPr>
        <w:spacing w:after="60"/>
      </w:pPr>
      <w:r>
        <w:rPr>
          <w:i/>
          <w:iCs/>
          <w:color w:val="8A6FA8"/>
          <w:sz w:val="17"/>
          <w:szCs w:val="17"/>
          <w:rFonts w:ascii="Calibri" w:cs="Calibri" w:eastAsia="Calibri" w:hAnsi="Calibri"/>
        </w:rPr>
        <w:t xml:space="preserve">Dominio: Recursos  ·  Área de enfoque: Monitoreo y Control  ·  PMBOK® Guide, 8.ª edición (PMI, 2025)</w:t>
      </w:r>
    </w:p>
    <w:p>
      <w:pPr>
        <w:pBdr>
          <w:bottom w:val="single" w:color="4C1D73" w:sz="8"/>
        </w:pBdr>
        <w:spacing w:after="160"/>
      </w:pPr>
      <w:r>
        <w:t xml:space="preserve"/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1. ¿Qué es este proceso?</w:t>
      </w:r>
    </w:p>
    <w:p>
      <w:pPr>
        <w:spacing w:after="120" w:line="300"/>
      </w:pPr>
      <w:r>
        <w:rPr>
          <w:color w:val="333333"/>
          <w:sz w:val="21"/>
          <w:szCs w:val="21"/>
          <w:rFonts w:ascii="Calibri" w:cs="Calibri" w:eastAsia="Calibri" w:hAnsi="Calibri"/>
        </w:rPr>
        <w:t xml:space="preserve">Asegura que los recursos asignados estén disponibles cuando se necesitan y que se usen de forma óptima, tomando acciones correctivas ante desviaciones.</w:t>
      </w:r>
    </w:p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2. Entradas, herramientas y salidas (ITTO)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Elementos ilustrativos, no exhaustivos, que suelen alimentar y producir este proceso.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Entradas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Herramientas y técnicas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4C1D73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Salidas</w:t>
            </w:r>
          </w:p>
        </w:tc>
      </w:tr>
      <w:tr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Plan del proyecto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Asignaciones de recursos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Datos de desempeño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Acuerdos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Análisis de datos (alternativas, costo-beneficio)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Resolución de problemas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Habilidades interpersonales</w:t>
            </w:r>
          </w:p>
        </w:tc>
        <w:tc>
          <w:tcPr>
            <w:tcW w:type="pct" w:w="33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Información de desempeño del trabajo</w:t>
            </w:r>
          </w:p>
          <w:p>
            <w:pPr>
              <w:spacing w:after="40" w:line="260"/>
            </w:pPr>
            <w:r>
              <w:rPr>
                <w:color w:val="333333"/>
                <w:sz w:val="17"/>
                <w:szCs w:val="17"/>
                <w:rFonts w:ascii="Calibri" w:cs="Calibri" w:eastAsia="Calibri" w:hAnsi="Calibri"/>
              </w:rPr>
              <w:t xml:space="preserve">• Solicitudes de cambio</w:t>
            </w:r>
          </w:p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3. Datos a recabar</w:t>
      </w:r>
    </w:p>
    <w:p>
      <w:pPr>
        <w:spacing w:after="140"/>
      </w:pPr>
      <w:r>
        <w:rPr>
          <w:i/>
          <w:iCs/>
          <w:color w:val="8A6FA8"/>
          <w:sz w:val="18"/>
          <w:szCs w:val="18"/>
          <w:rFonts w:ascii="Calibri" w:cs="Calibri" w:eastAsia="Calibri" w:hAnsi="Calibri"/>
        </w:rPr>
        <w:t xml:space="preserve">Complete cada campo directamente en Word (las celdas son editables) o imprima la plantilla para llenarla a mano.</w:t>
      </w:r>
    </w:p>
    <w:tbl>
      <w:tblPr>
        <w:tblW w:type="pct" w:w="100%"/>
        <w:tblBorders>
          <w:top w:val="single" w:color="DDC7F1" w:sz="4"/>
          <w:left w:val="single" w:color="DDC7F1" w:sz="4"/>
          <w:bottom w:val="single" w:color="DDC7F1" w:sz="4"/>
          <w:right w:val="single" w:color="DDC7F1" w:sz="4"/>
          <w:insideH w:val="single" w:color="DDC7F1" w:sz="4"/>
          <w:insideV w:val="single" w:color="DDC7F1" w:sz="4"/>
        </w:tblBorders>
      </w:tblPr>
      <w:tblGrid>
        <w:gridCol w:w="100"/>
        <w:gridCol w:w="100"/>
      </w:tblGrid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Uso real vs. planificado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Disponibilidad de recursos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Sobreasignaciones detectadas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Desviaciones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  <w:tr>
        <w:trPr>
          <w:trHeight w:val="560" w:hRule="atLeast"/>
        </w:trPr>
        <w:tc>
          <w:tcPr>
            <w:tcW w:type="pct" w:w="38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shd w:fill="F3EAFB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22102E"/>
                <w:sz w:val="19"/>
                <w:szCs w:val="19"/>
                <w:rFonts w:ascii="Calibri" w:cs="Calibri" w:eastAsia="Calibri" w:hAnsi="Calibri"/>
              </w:rPr>
              <w:t xml:space="preserve">Acciones correctivas</w:t>
            </w:r>
          </w:p>
        </w:tc>
        <w:tc>
          <w:tcPr>
            <w:tcW w:type="pct" w:w="62%"/>
            <w:tcBorders>
              <w:top w:val="single" w:color="DDC7F1" w:sz="4"/>
              <w:left w:val="single" w:color="DDC7F1" w:sz="4"/>
              <w:bottom w:val="single" w:color="DDC7F1" w:sz="4"/>
              <w:right w:val="single" w:color="DDC7F1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/>
        </w:tc>
      </w:tr>
    </w:tbl>
    <w:p>
      <w:pPr>
        <w:spacing w:before="280" w:after="120"/>
      </w:pPr>
      <w:r>
        <w:rPr>
          <w:b/>
          <w:bCs/>
          <w:color w:val="4C1D73"/>
          <w:sz w:val="26"/>
          <w:szCs w:val="26"/>
          <w:rFonts w:ascii="Calibri" w:cs="Calibri" w:eastAsia="Calibri" w:hAnsi="Calibri"/>
        </w:rPr>
        <w:t xml:space="preserve">4. Recomendaciones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Detecta y corrige sobreasignaciones antes de que quemen al equipo.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Usa IA para optimizar la asignación de recursos entre actividades y proyectos.</w:t>
      </w:r>
    </w:p>
    <w:p>
      <w:pPr>
        <w:pStyle w:val="ListParagraph"/>
        <w:numPr>
          <w:ilvl w:val="0"/>
          <w:numId w:val="1"/>
        </w:numPr>
        <w:spacing w:after="80" w:line="290"/>
      </w:pPr>
      <w:r>
        <w:rPr>
          <w:color w:val="333333"/>
          <w:sz w:val="20"/>
          <w:szCs w:val="20"/>
          <w:rFonts w:ascii="Calibri" w:cs="Calibri" w:eastAsia="Calibri" w:hAnsi="Calibri"/>
        </w:rPr>
        <w:t xml:space="preserve">Nivela los recursos y anticipa los cuellos de botella de capacidad.</w:t>
      </w:r>
    </w:p>
    <w:p>
      <w:pPr>
        <w:pBdr>
          <w:top w:val="single" w:color="DDC7F1" w:sz="4"/>
        </w:pBdr>
        <w:spacing w:before="280"/>
      </w:pPr>
      <w:r>
        <w:rPr>
          <w:i/>
          <w:iCs/>
          <w:color w:val="8A6FA8"/>
          <w:sz w:val="15"/>
          <w:szCs w:val="15"/>
          <w:rFonts w:ascii="Calibri" w:cs="Calibri" w:eastAsia="Calibri" w:hAnsi="Calibri"/>
        </w:rPr>
        <w:t xml:space="preserve">Plantilla de uso didáctico. Los nombres de los procesos son una traducción de trabajo; verifíquelos contra la Guía del PMBOK® 8.ª edición (PMI, 2025) antes de un uso formal.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— Monitorear y Controlar los Recursos</dc:title>
  <dc:creator>Continental Florida University</dc:creator>
  <cp:lastModifiedBy>Un-named</cp:lastModifiedBy>
  <cp:revision>1</cp:revision>
  <dcterms:created xsi:type="dcterms:W3CDTF">2026-09-24T01:31:14.778Z</dcterms:created>
  <dcterms:modified xsi:type="dcterms:W3CDTF">2026-09-24T01:31:14.778Z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