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8"/>
          <w:szCs w:val="28"/>
        </w:rPr>
        <w:t xml:space="preserve">INDEPENDENT CONTRACTOR</w:t>
      </w:r>
    </w:p>
    <w:p>
      <w:pPr>
        <w:spacing w:after="300"/>
        <w:jc w:val="center"/>
      </w:pPr>
      <w:r>
        <w:rPr>
          <w:rFonts w:ascii="Arial" w:cs="Arial" w:eastAsia="Arial" w:hAnsi="Arial"/>
          <w:b/>
          <w:bCs/>
          <w:sz w:val="28"/>
          <w:szCs w:val="28"/>
        </w:rPr>
        <w:t xml:space="preserve">SOFTWARE DEVELOPMENT AGREEMENT</w:t>
      </w:r>
    </w:p>
    <w:p>
      <w:pPr>
        <w:spacing w:after="120" w:line="276"/>
      </w:pPr>
      <w:r>
        <w:rPr>
          <w:rFonts w:ascii="Arial" w:cs="Arial" w:eastAsia="Arial" w:hAnsi="Arial"/>
          <w:sz w:val="21"/>
          <w:szCs w:val="21"/>
        </w:rPr>
        <w:t xml:space="preserve">This Independent Contractor Software Development Agreement (the “</w:t>
      </w:r>
      <w:r>
        <w:rPr>
          <w:rFonts w:ascii="Arial" w:cs="Arial" w:eastAsia="Arial" w:hAnsi="Arial"/>
          <w:b/>
          <w:bCs/>
          <w:sz w:val="21"/>
          <w:szCs w:val="21"/>
        </w:rPr>
        <w:t xml:space="preserve">Agreement</w:t>
      </w:r>
      <w:r>
        <w:rPr>
          <w:rFonts w:ascii="Arial" w:cs="Arial" w:eastAsia="Arial" w:hAnsi="Arial"/>
          <w:sz w:val="21"/>
          <w:szCs w:val="21"/>
        </w:rPr>
        <w:t xml:space="preserve">”) is entered into as of </w:t>
      </w:r>
      <w:r>
        <w:rPr>
          <w:rFonts w:ascii="Arial" w:cs="Arial" w:eastAsia="Arial" w:hAnsi="Arial"/>
          <w:b/>
          <w:bCs/>
          <w:sz w:val="21"/>
          <w:szCs w:val="21"/>
        </w:rPr>
        <w:t xml:space="preserve">October 1, 2026</w:t>
      </w:r>
      <w:r>
        <w:rPr>
          <w:rFonts w:ascii="Arial" w:cs="Arial" w:eastAsia="Arial" w:hAnsi="Arial"/>
          <w:sz w:val="21"/>
          <w:szCs w:val="21"/>
        </w:rPr>
        <w:t xml:space="preserve"> (the “</w:t>
      </w:r>
      <w:r>
        <w:rPr>
          <w:rFonts w:ascii="Arial" w:cs="Arial" w:eastAsia="Arial" w:hAnsi="Arial"/>
          <w:b/>
          <w:bCs/>
          <w:sz w:val="21"/>
          <w:szCs w:val="21"/>
        </w:rPr>
        <w:t xml:space="preserve">Effective Date</w:t>
      </w:r>
      <w:r>
        <w:rPr>
          <w:rFonts w:ascii="Arial" w:cs="Arial" w:eastAsia="Arial" w:hAnsi="Arial"/>
          <w:sz w:val="21"/>
          <w:szCs w:val="21"/>
        </w:rPr>
        <w:t xml:space="preserve">”), by and between:</w:t>
      </w:r>
    </w:p>
    <w:p>
      <w:pPr>
        <w:spacing w:after="60" w:before="160"/>
      </w:pPr>
      <w:r>
        <w:rPr>
          <w:rFonts w:ascii="Arial" w:cs="Arial" w:eastAsia="Arial" w:hAnsi="Arial"/>
          <w:b/>
          <w:bCs/>
          <w:sz w:val="21"/>
          <w:szCs w:val="21"/>
        </w:rPr>
        <w:t xml:space="preserve">Client:</w:t>
      </w:r>
    </w:p>
    <w:p>
      <w:pPr>
        <w:spacing w:after="40"/>
      </w:pPr>
      <w:r>
        <w:rPr>
          <w:rFonts w:ascii="Arial" w:cs="Arial" w:eastAsia="Arial" w:hAnsi="Arial"/>
          <w:sz w:val="21"/>
          <w:szCs w:val="21"/>
        </w:rPr>
        <w:t xml:space="preserve">Positive Thinking Press Inc.</w:t>
      </w:r>
    </w:p>
    <w:p>
      <w:pPr>
        <w:spacing w:after="40"/>
      </w:pPr>
      <w:r>
        <w:rPr>
          <w:rFonts w:ascii="Arial" w:cs="Arial" w:eastAsia="Arial" w:hAnsi="Arial"/>
          <w:sz w:val="21"/>
          <w:szCs w:val="21"/>
        </w:rPr>
        <w:t xml:space="preserve">Address: 1710 19th Street, West Vancouver, British Columbia, Canada V7V 3X7</w:t>
      </w:r>
    </w:p>
    <w:p>
      <w:pPr>
        <w:spacing w:after="40"/>
      </w:pPr>
      <w:r>
        <w:rPr>
          <w:rFonts w:ascii="Arial" w:cs="Arial" w:eastAsia="Arial" w:hAnsi="Arial"/>
          <w:sz w:val="21"/>
          <w:szCs w:val="21"/>
        </w:rPr>
        <w:t xml:space="preserve">Business Number: 77556 6755 BC0001</w:t>
      </w:r>
    </w:p>
    <w:p>
      <w:pPr>
        <w:spacing w:after="120" w:line="276"/>
      </w:pPr>
      <w:r>
        <w:rPr>
          <w:rFonts w:ascii="Arial" w:cs="Arial" w:eastAsia="Arial" w:hAnsi="Arial"/>
          <w:sz w:val="21"/>
          <w:szCs w:val="21"/>
        </w:rPr>
        <w:t xml:space="preserve">(hereinafter referred to as the “</w:t>
      </w:r>
      <w:r>
        <w:rPr>
          <w:rFonts w:ascii="Arial" w:cs="Arial" w:eastAsia="Arial" w:hAnsi="Arial"/>
          <w:b/>
          <w:bCs/>
          <w:sz w:val="21"/>
          <w:szCs w:val="21"/>
        </w:rPr>
        <w:t xml:space="preserve">Client</w:t>
      </w:r>
      <w:r>
        <w:rPr>
          <w:rFonts w:ascii="Arial" w:cs="Arial" w:eastAsia="Arial" w:hAnsi="Arial"/>
          <w:sz w:val="21"/>
          <w:szCs w:val="21"/>
        </w:rPr>
        <w:t xml:space="preserve">” or “</w:t>
      </w:r>
      <w:r>
        <w:rPr>
          <w:rFonts w:ascii="Arial" w:cs="Arial" w:eastAsia="Arial" w:hAnsi="Arial"/>
          <w:b/>
          <w:bCs/>
          <w:sz w:val="21"/>
          <w:szCs w:val="21"/>
        </w:rPr>
        <w:t xml:space="preserve">PTP</w:t>
      </w:r>
      <w:r>
        <w:rPr>
          <w:rFonts w:ascii="Arial" w:cs="Arial" w:eastAsia="Arial" w:hAnsi="Arial"/>
          <w:sz w:val="21"/>
          <w:szCs w:val="21"/>
        </w:rPr>
        <w:t xml:space="preserve">”)</w:t>
      </w:r>
    </w:p>
    <w:p>
      <w:pPr>
        <w:spacing w:after="60" w:before="160"/>
      </w:pPr>
      <w:r>
        <w:rPr>
          <w:rFonts w:ascii="Arial" w:cs="Arial" w:eastAsia="Arial" w:hAnsi="Arial"/>
          <w:b/>
          <w:bCs/>
          <w:sz w:val="21"/>
          <w:szCs w:val="21"/>
        </w:rPr>
        <w:t xml:space="preserve">Developer:</w:t>
      </w:r>
    </w:p>
    <w:p>
      <w:pPr>
        <w:spacing w:after="40"/>
      </w:pPr>
      <w:r>
        <w:rPr>
          <w:rFonts w:ascii="Arial" w:cs="Arial" w:eastAsia="Arial" w:hAnsi="Arial"/>
          <w:sz w:val="21"/>
          <w:szCs w:val="21"/>
        </w:rPr>
        <w:t xml:space="preserve">Full legal name: </w:t>
      </w:r>
      <w:r>
        <w:rPr>
          <w:rFonts w:ascii="Arial" w:cs="Arial" w:eastAsia="Arial" w:hAnsi="Arial"/>
          <w:sz w:val="21"/>
          <w:szCs w:val="21"/>
        </w:rPr>
        <w:t xml:space="preserve">________________________________________</w:t>
      </w:r>
    </w:p>
    <w:p>
      <w:pPr>
        <w:spacing w:after="40"/>
      </w:pPr>
      <w:r>
        <w:rPr>
          <w:rFonts w:ascii="Arial" w:cs="Arial" w:eastAsia="Arial" w:hAnsi="Arial"/>
          <w:sz w:val="21"/>
          <w:szCs w:val="21"/>
        </w:rPr>
        <w:t xml:space="preserve">Address: </w:t>
      </w:r>
      <w:r>
        <w:rPr>
          <w:rFonts w:ascii="Arial" w:cs="Arial" w:eastAsia="Arial" w:hAnsi="Arial"/>
          <w:sz w:val="21"/>
          <w:szCs w:val="21"/>
        </w:rPr>
        <w:t xml:space="preserve">______________________________________________</w:t>
      </w:r>
      <w:r>
        <w:rPr>
          <w:rFonts w:ascii="Arial" w:cs="Arial" w:eastAsia="Arial" w:hAnsi="Arial"/>
          <w:sz w:val="21"/>
          <w:szCs w:val="21"/>
        </w:rPr>
        <w:t xml:space="preserve">, Ontario, Canada</w:t>
      </w:r>
    </w:p>
    <w:p>
      <w:pPr>
        <w:spacing w:after="40"/>
      </w:pPr>
      <w:r>
        <w:rPr>
          <w:rFonts w:ascii="Arial" w:cs="Arial" w:eastAsia="Arial" w:hAnsi="Arial"/>
          <w:sz w:val="21"/>
          <w:szCs w:val="21"/>
        </w:rPr>
        <w:t xml:space="preserve">Email: </w:t>
      </w:r>
      <w:r>
        <w:rPr>
          <w:rFonts w:ascii="Arial" w:cs="Arial" w:eastAsia="Arial" w:hAnsi="Arial"/>
          <w:sz w:val="21"/>
          <w:szCs w:val="21"/>
        </w:rPr>
        <w:t xml:space="preserve">________________________________________</w:t>
      </w:r>
    </w:p>
    <w:p>
      <w:pPr>
        <w:spacing w:after="120" w:line="276"/>
      </w:pPr>
      <w:r>
        <w:rPr>
          <w:rFonts w:ascii="Arial" w:cs="Arial" w:eastAsia="Arial" w:hAnsi="Arial"/>
          <w:sz w:val="21"/>
          <w:szCs w:val="21"/>
        </w:rPr>
        <w:t xml:space="preserve">(hereinafter referred to as the “</w:t>
      </w:r>
      <w:r>
        <w:rPr>
          <w:rFonts w:ascii="Arial" w:cs="Arial" w:eastAsia="Arial" w:hAnsi="Arial"/>
          <w:b/>
          <w:bCs/>
          <w:sz w:val="21"/>
          <w:szCs w:val="21"/>
        </w:rPr>
        <w:t xml:space="preserve">Developer</w:t>
      </w:r>
      <w:r>
        <w:rPr>
          <w:rFonts w:ascii="Arial" w:cs="Arial" w:eastAsia="Arial" w:hAnsi="Arial"/>
          <w:sz w:val="21"/>
          <w:szCs w:val="21"/>
        </w:rPr>
        <w:t xml:space="preserve">”)</w:t>
      </w:r>
    </w:p>
    <w:p>
      <w:pPr>
        <w:keepNext/>
        <w:pBdr>
          <w:bottom w:val="single" w:color="BBBBBB" w:sz="4" w:space="4"/>
        </w:pBdr>
        <w:spacing w:after="120" w:before="300"/>
      </w:pPr>
      <w:r>
        <w:rPr>
          <w:rFonts w:ascii="Arial" w:cs="Arial" w:eastAsia="Arial" w:hAnsi="Arial"/>
          <w:b/>
          <w:bCs/>
          <w:sz w:val="23"/>
          <w:szCs w:val="23"/>
        </w:rPr>
        <w:t xml:space="preserve">1. Engagement and Independent Contractor Status</w:t>
      </w:r>
    </w:p>
    <w:p>
      <w:pPr>
        <w:keepNext/>
        <w:spacing w:after="80" w:before="120"/>
      </w:pPr>
      <w:r>
        <w:rPr>
          <w:rFonts w:ascii="Arial" w:cs="Arial" w:eastAsia="Arial" w:hAnsi="Arial"/>
          <w:b/>
          <w:bCs/>
          <w:sz w:val="21"/>
          <w:szCs w:val="21"/>
        </w:rPr>
        <w:t xml:space="preserve">1.1 Independent Contractor</w:t>
      </w:r>
    </w:p>
    <w:p>
      <w:pPr>
        <w:spacing w:after="120" w:line="276"/>
      </w:pPr>
      <w:r>
        <w:rPr>
          <w:rFonts w:ascii="Arial" w:cs="Arial" w:eastAsia="Arial" w:hAnsi="Arial"/>
          <w:sz w:val="21"/>
          <w:szCs w:val="21"/>
        </w:rPr>
        <w:t xml:space="preserve">The Client engages the Developer as an independent contractor. Nothing in this Agreement creates an employment, partnership, joint venture or agency relationship between the parties. The Developer has no authority to bind the Client.</w:t>
      </w:r>
    </w:p>
    <w:p>
      <w:pPr>
        <w:keepNext/>
        <w:spacing w:after="80" w:before="120"/>
      </w:pPr>
      <w:r>
        <w:rPr>
          <w:rFonts w:ascii="Arial" w:cs="Arial" w:eastAsia="Arial" w:hAnsi="Arial"/>
          <w:b/>
          <w:bCs/>
          <w:sz w:val="21"/>
          <w:szCs w:val="21"/>
        </w:rPr>
        <w:t xml:space="preserve">1.2 Control of Work</w:t>
      </w:r>
    </w:p>
    <w:p>
      <w:pPr>
        <w:spacing w:after="120" w:line="276"/>
      </w:pPr>
      <w:r>
        <w:rPr>
          <w:rFonts w:ascii="Arial" w:cs="Arial" w:eastAsia="Arial" w:hAnsi="Arial"/>
          <w:sz w:val="21"/>
          <w:szCs w:val="21"/>
        </w:rPr>
        <w:t xml:space="preserve">The Developer decides when, where and how the services are performed, and supplies their own computer equipment and workspace. The Client specifies the results required (Section 2), not the hours or methods of work. The Developer is free to provide services to others, subject to Sections 1.5 and 7.</w:t>
      </w:r>
    </w:p>
    <w:p>
      <w:pPr>
        <w:keepNext/>
        <w:spacing w:after="80" w:before="120"/>
      </w:pPr>
      <w:r>
        <w:rPr>
          <w:rFonts w:ascii="Arial" w:cs="Arial" w:eastAsia="Arial" w:hAnsi="Arial"/>
          <w:b/>
          <w:bCs/>
          <w:sz w:val="21"/>
          <w:szCs w:val="21"/>
        </w:rPr>
        <w:t xml:space="preserve">1.3 Taxes and Statutory Remittances</w:t>
      </w:r>
    </w:p>
    <w:p>
      <w:pPr>
        <w:spacing w:after="120" w:line="276"/>
      </w:pPr>
      <w:r>
        <w:rPr>
          <w:rFonts w:ascii="Arial" w:cs="Arial" w:eastAsia="Arial" w:hAnsi="Arial"/>
          <w:sz w:val="21"/>
          <w:szCs w:val="21"/>
        </w:rPr>
        <w:t xml:space="preserve">The Developer is solely responsible for all income taxes, Canada Pension Plan contributions, Employment Insurance premiums and any other taxes or remittances arising from the fees paid under this Agreement. The Client will not withhold or remit any amount on the Developer’s behalf and will not issue a T4 slip. The Client may issue any information slip (such as a T4A) that it is required by law to file. If the Developer is or becomes required to register for GST/HST, the Developer will register, show their GST/HST number on each invoice and charge GST/HST as required by law.</w:t>
      </w:r>
    </w:p>
    <w:p>
      <w:pPr>
        <w:keepNext/>
        <w:spacing w:after="80" w:before="120"/>
      </w:pPr>
      <w:r>
        <w:rPr>
          <w:rFonts w:ascii="Arial" w:cs="Arial" w:eastAsia="Arial" w:hAnsi="Arial"/>
          <w:b/>
          <w:bCs/>
          <w:sz w:val="21"/>
          <w:szCs w:val="21"/>
        </w:rPr>
        <w:t xml:space="preserve">1.4 No Employee Benefits</w:t>
      </w:r>
    </w:p>
    <w:p>
      <w:pPr>
        <w:spacing w:after="120" w:line="276"/>
      </w:pPr>
      <w:r>
        <w:rPr>
          <w:rFonts w:ascii="Arial" w:cs="Arial" w:eastAsia="Arial" w:hAnsi="Arial"/>
          <w:sz w:val="21"/>
          <w:szCs w:val="21"/>
        </w:rPr>
        <w:t xml:space="preserve">The Developer is not entitled to vacation pay, statutory holiday pay, overtime, benefits, or any other entitlement of an employee of the Client.</w:t>
      </w:r>
    </w:p>
    <w:p>
      <w:pPr>
        <w:keepNext/>
        <w:spacing w:after="80" w:before="120"/>
      </w:pPr>
      <w:r>
        <w:rPr>
          <w:rFonts w:ascii="Arial" w:cs="Arial" w:eastAsia="Arial" w:hAnsi="Arial"/>
          <w:b/>
          <w:bCs/>
          <w:sz w:val="21"/>
          <w:szCs w:val="21"/>
        </w:rPr>
        <w:t xml:space="preserve">1.5 Other Employment</w:t>
      </w:r>
    </w:p>
    <w:p>
      <w:pPr>
        <w:spacing w:after="120" w:line="276"/>
      </w:pPr>
      <w:r>
        <w:rPr>
          <w:rFonts w:ascii="Arial" w:cs="Arial" w:eastAsia="Arial" w:hAnsi="Arial"/>
          <w:sz w:val="21"/>
          <w:szCs w:val="21"/>
        </w:rPr>
        <w:t xml:space="preserve">The Developer currently holds full-time employment with another party (the “Current Employer”). The Developer represents and agrees that:</w:t>
      </w:r>
    </w:p>
    <w:p>
      <w:pPr>
        <w:pStyle w:val="ListParagraph"/>
        <w:numPr>
          <w:ilvl w:val="0"/>
          <w:numId w:val="2"/>
        </w:numPr>
        <w:spacing w:after="60" w:line="276"/>
      </w:pPr>
      <w:r>
        <w:rPr>
          <w:rFonts w:ascii="Arial" w:cs="Arial" w:eastAsia="Arial" w:hAnsi="Arial"/>
          <w:sz w:val="21"/>
          <w:szCs w:val="21"/>
        </w:rPr>
        <w:t xml:space="preserve">they have reviewed their agreements with the Current Employer, and nothing in those agreements prevents them from entering into and performing this Agreement;</w:t>
      </w:r>
    </w:p>
    <w:p>
      <w:pPr>
        <w:pStyle w:val="ListParagraph"/>
        <w:numPr>
          <w:ilvl w:val="0"/>
          <w:numId w:val="2"/>
        </w:numPr>
        <w:spacing w:after="60" w:line="276"/>
      </w:pPr>
      <w:r>
        <w:rPr>
          <w:rFonts w:ascii="Arial" w:cs="Arial" w:eastAsia="Arial" w:hAnsi="Arial"/>
          <w:sz w:val="21"/>
          <w:szCs w:val="21"/>
        </w:rPr>
        <w:t xml:space="preserve">they will not perform services under this Agreement during working hours for the Current Employer, or using the Current Employer’s equipment, accounts, facilities or confidential information;</w:t>
      </w:r>
    </w:p>
    <w:p>
      <w:pPr>
        <w:pStyle w:val="ListParagraph"/>
        <w:numPr>
          <w:ilvl w:val="0"/>
          <w:numId w:val="2"/>
        </w:numPr>
        <w:spacing w:after="60" w:line="276"/>
      </w:pPr>
      <w:r>
        <w:rPr>
          <w:rFonts w:ascii="Arial" w:cs="Arial" w:eastAsia="Arial" w:hAnsi="Arial"/>
          <w:sz w:val="21"/>
          <w:szCs w:val="21"/>
        </w:rPr>
        <w:t xml:space="preserve">the Current Employer has no right, title or interest in any Work Product (Section 6); and</w:t>
      </w:r>
    </w:p>
    <w:p>
      <w:pPr>
        <w:pStyle w:val="ListParagraph"/>
        <w:numPr>
          <w:ilvl w:val="0"/>
          <w:numId w:val="2"/>
        </w:numPr>
        <w:spacing w:after="60" w:line="276"/>
      </w:pPr>
      <w:r>
        <w:rPr>
          <w:rFonts w:ascii="Arial" w:cs="Arial" w:eastAsia="Arial" w:hAnsi="Arial"/>
          <w:sz w:val="21"/>
          <w:szCs w:val="21"/>
        </w:rPr>
        <w:t xml:space="preserve">they will promptly notify the Client in writing if any of the above ceases to be true.</w:t>
      </w:r>
    </w:p>
    <w:p>
      <w:pPr>
        <w:keepNext/>
        <w:spacing w:after="80" w:before="120"/>
      </w:pPr>
      <w:r>
        <w:rPr>
          <w:rFonts w:ascii="Arial" w:cs="Arial" w:eastAsia="Arial" w:hAnsi="Arial"/>
          <w:b/>
          <w:bCs/>
          <w:sz w:val="21"/>
          <w:szCs w:val="21"/>
        </w:rPr>
        <w:t xml:space="preserve">1.6 Identity and Residency Verification</w:t>
      </w:r>
    </w:p>
    <w:p>
      <w:pPr>
        <w:spacing w:after="120" w:line="276"/>
      </w:pPr>
      <w:r>
        <w:rPr>
          <w:rFonts w:ascii="Arial" w:cs="Arial" w:eastAsia="Arial" w:hAnsi="Arial"/>
          <w:sz w:val="21"/>
          <w:szCs w:val="21"/>
        </w:rPr>
        <w:t xml:space="preserve">Before starting work, the Developer will provide the Client with a scanned copy of a valid Canadian driver’s licence or other government-issued photo identification showing the Developer’s current Ontario address. The Developer will notify the Client in writing within ten (10) days of any change of address. The Client will store the copy securely and use it only to verify the Developer’s identity and residency and for its tax and accounting records.</w:t>
      </w:r>
    </w:p>
    <w:p>
      <w:pPr>
        <w:keepNext/>
        <w:pBdr>
          <w:bottom w:val="single" w:color="BBBBBB" w:sz="4" w:space="4"/>
        </w:pBdr>
        <w:spacing w:after="120" w:before="300"/>
      </w:pPr>
      <w:r>
        <w:rPr>
          <w:rFonts w:ascii="Arial" w:cs="Arial" w:eastAsia="Arial" w:hAnsi="Arial"/>
          <w:b/>
          <w:bCs/>
          <w:sz w:val="23"/>
          <w:szCs w:val="23"/>
        </w:rPr>
        <w:t xml:space="preserve">2. Scope of Work</w:t>
      </w:r>
    </w:p>
    <w:p>
      <w:pPr>
        <w:keepNext/>
        <w:spacing w:after="80" w:before="120"/>
      </w:pPr>
      <w:r>
        <w:rPr>
          <w:rFonts w:ascii="Arial" w:cs="Arial" w:eastAsia="Arial" w:hAnsi="Arial"/>
          <w:b/>
          <w:bCs/>
          <w:sz w:val="21"/>
          <w:szCs w:val="21"/>
        </w:rPr>
        <w:t xml:space="preserve">2.1 Project Description</w:t>
      </w:r>
    </w:p>
    <w:p>
      <w:pPr>
        <w:spacing w:after="120" w:line="276"/>
      </w:pPr>
      <w:r>
        <w:rPr>
          <w:rFonts w:ascii="Arial" w:cs="Arial" w:eastAsia="Arial" w:hAnsi="Arial"/>
          <w:sz w:val="21"/>
          <w:szCs w:val="21"/>
        </w:rPr>
        <w:t xml:space="preserve">The Developer will design and develop Phase 1 of BRIKKA, a back-office system for managing the leasing operations of commercial buildings (the “Project”). Phase 1 consists of the 35 administrator-facing screens defined in the functional specification described in Exhibit A (the “Specification”). The Developer’s work includes:</w:t>
      </w:r>
    </w:p>
    <w:p>
      <w:pPr>
        <w:pStyle w:val="ListParagraph"/>
        <w:numPr>
          <w:ilvl w:val="0"/>
          <w:numId w:val="3"/>
        </w:numPr>
        <w:spacing w:after="60" w:line="276"/>
      </w:pPr>
      <w:r>
        <w:rPr>
          <w:rFonts w:ascii="Arial" w:cs="Arial" w:eastAsia="Arial" w:hAnsi="Arial"/>
          <w:sz w:val="21"/>
          <w:szCs w:val="21"/>
        </w:rPr>
        <w:t xml:space="preserve">database schema, migrations, indexes and constraints;</w:t>
      </w:r>
    </w:p>
    <w:p>
      <w:pPr>
        <w:pStyle w:val="ListParagraph"/>
        <w:numPr>
          <w:ilvl w:val="0"/>
          <w:numId w:val="3"/>
        </w:numPr>
        <w:spacing w:after="60" w:line="276"/>
      </w:pPr>
      <w:r>
        <w:rPr>
          <w:rFonts w:ascii="Arial" w:cs="Arial" w:eastAsia="Arial" w:hAnsi="Arial"/>
          <w:sz w:val="21"/>
          <w:szCs w:val="21"/>
        </w:rPr>
        <w:t xml:space="preserve">multi-tenant data isolation between operating companies enforced at the database level (PostgreSQL row-level security), with automated isolation tests;</w:t>
      </w:r>
    </w:p>
    <w:p>
      <w:pPr>
        <w:pStyle w:val="ListParagraph"/>
        <w:numPr>
          <w:ilvl w:val="0"/>
          <w:numId w:val="3"/>
        </w:numPr>
        <w:spacing w:after="60" w:line="276"/>
      </w:pPr>
      <w:r>
        <w:rPr>
          <w:rFonts w:ascii="Arial" w:cs="Arial" w:eastAsia="Arial" w:hAnsi="Arial"/>
          <w:sz w:val="21"/>
          <w:szCs w:val="21"/>
        </w:rPr>
        <w:t xml:space="preserve">project setup, configuration, deployment pipeline and deployment to production;</w:t>
      </w:r>
    </w:p>
    <w:p>
      <w:pPr>
        <w:pStyle w:val="ListParagraph"/>
        <w:numPr>
          <w:ilvl w:val="0"/>
          <w:numId w:val="3"/>
        </w:numPr>
        <w:spacing w:after="60" w:line="276"/>
      </w:pPr>
      <w:r>
        <w:rPr>
          <w:rFonts w:ascii="Arial" w:cs="Arial" w:eastAsia="Arial" w:hAnsi="Arial"/>
          <w:sz w:val="21"/>
          <w:szCs w:val="21"/>
        </w:rPr>
        <w:t xml:space="preserve">all Phase 1 screens, including the server-side logic, validation, permissions and calculations defined in the Specification;</w:t>
      </w:r>
    </w:p>
    <w:p>
      <w:pPr>
        <w:pStyle w:val="ListParagraph"/>
        <w:numPr>
          <w:ilvl w:val="0"/>
          <w:numId w:val="3"/>
        </w:numPr>
        <w:spacing w:after="60" w:line="276"/>
      </w:pPr>
      <w:r>
        <w:rPr>
          <w:rFonts w:ascii="Arial" w:cs="Arial" w:eastAsia="Arial" w:hAnsi="Arial"/>
          <w:sz w:val="21"/>
          <w:szCs w:val="21"/>
        </w:rPr>
        <w:t xml:space="preserve">automated tests, including tests that reproduce the worked calculation examples in the Specification; and</w:t>
      </w:r>
    </w:p>
    <w:p>
      <w:pPr>
        <w:pStyle w:val="ListParagraph"/>
        <w:numPr>
          <w:ilvl w:val="0"/>
          <w:numId w:val="3"/>
        </w:numPr>
        <w:spacing w:after="60" w:line="276"/>
      </w:pPr>
      <w:r>
        <w:rPr>
          <w:rFonts w:ascii="Arial" w:cs="Arial" w:eastAsia="Arial" w:hAnsi="Arial"/>
          <w:sz w:val="21"/>
          <w:szCs w:val="21"/>
        </w:rPr>
        <w:t xml:space="preserve">documentation: a README written for a non-developer, a rules file for AI coding tools (CLAUDE.md or AGENTS.md), architecture decision notes, and a scripted path from the database schema to TypeScript types.</w:t>
      </w:r>
    </w:p>
    <w:p>
      <w:pPr>
        <w:keepNext/>
        <w:spacing w:after="80" w:before="120"/>
      </w:pPr>
      <w:r>
        <w:rPr>
          <w:rFonts w:ascii="Arial" w:cs="Arial" w:eastAsia="Arial" w:hAnsi="Arial"/>
          <w:b/>
          <w:bCs/>
          <w:sz w:val="21"/>
          <w:szCs w:val="21"/>
        </w:rPr>
        <w:t xml:space="preserve">2.2 Technology</w:t>
      </w:r>
    </w:p>
    <w:p>
      <w:pPr>
        <w:spacing w:after="120" w:line="276"/>
      </w:pPr>
      <w:r>
        <w:rPr>
          <w:rFonts w:ascii="Arial" w:cs="Arial" w:eastAsia="Arial" w:hAnsi="Arial"/>
          <w:sz w:val="21"/>
          <w:szCs w:val="21"/>
        </w:rPr>
        <w:t xml:space="preserve">Next.js and TypeScript; Supabase (PostgreSQL, Seoul region; Auth; Storage); Cloudflare. Any change to this technology choice requires the Client’s prior written approval.</w:t>
      </w:r>
    </w:p>
    <w:p>
      <w:pPr>
        <w:keepNext/>
        <w:spacing w:after="80" w:before="120"/>
      </w:pPr>
      <w:r>
        <w:rPr>
          <w:rFonts w:ascii="Arial" w:cs="Arial" w:eastAsia="Arial" w:hAnsi="Arial"/>
          <w:b/>
          <w:bCs/>
          <w:sz w:val="21"/>
          <w:szCs w:val="21"/>
        </w:rPr>
        <w:t xml:space="preserve">2.3 Out of Scope</w:t>
      </w:r>
    </w:p>
    <w:p>
      <w:pPr>
        <w:spacing w:after="120" w:line="276"/>
      </w:pPr>
      <w:r>
        <w:rPr>
          <w:rFonts w:ascii="Arial" w:cs="Arial" w:eastAsia="Arial" w:hAnsi="Arial"/>
          <w:sz w:val="21"/>
          <w:szCs w:val="21"/>
        </w:rPr>
        <w:t xml:space="preserve">Items marked as Phase 2 in the Specification are not part of this Agreement unless added under Section 2.5.</w:t>
      </w:r>
    </w:p>
    <w:p>
      <w:pPr>
        <w:keepNext/>
        <w:spacing w:after="80" w:before="120"/>
      </w:pPr>
      <w:r>
        <w:rPr>
          <w:rFonts w:ascii="Arial" w:cs="Arial" w:eastAsia="Arial" w:hAnsi="Arial"/>
          <w:b/>
          <w:bCs/>
          <w:sz w:val="21"/>
          <w:szCs w:val="21"/>
        </w:rPr>
        <w:t xml:space="preserve">2.4 Technical Standards</w:t>
      </w:r>
    </w:p>
    <w:p>
      <w:pPr>
        <w:spacing w:after="120" w:line="276"/>
      </w:pPr>
      <w:r>
        <w:rPr>
          <w:rFonts w:ascii="Arial" w:cs="Arial" w:eastAsia="Arial" w:hAnsi="Arial"/>
          <w:sz w:val="21"/>
          <w:szCs w:val="21"/>
        </w:rPr>
        <w:t xml:space="preserve">The Developer will follow these standards throughout the Project:</w:t>
      </w:r>
    </w:p>
    <w:p>
      <w:pPr>
        <w:pStyle w:val="ListParagraph"/>
        <w:numPr>
          <w:ilvl w:val="0"/>
          <w:numId w:val="3"/>
        </w:numPr>
        <w:spacing w:after="60" w:line="276"/>
      </w:pPr>
      <w:r>
        <w:rPr>
          <w:rFonts w:ascii="Arial" w:cs="Arial" w:eastAsia="Arial" w:hAnsi="Arial"/>
          <w:sz w:val="21"/>
          <w:szCs w:val="21"/>
        </w:rPr>
        <w:t xml:space="preserve">Isolation between operating companies is enforced by the database, not by query conditions in application code. Isolation tests must run with a single command and must not use a service-role or administrator key to bypass row-level security.</w:t>
      </w:r>
    </w:p>
    <w:p>
      <w:pPr>
        <w:pStyle w:val="ListParagraph"/>
        <w:numPr>
          <w:ilvl w:val="0"/>
          <w:numId w:val="3"/>
        </w:numPr>
        <w:spacing w:after="60" w:line="276"/>
      </w:pPr>
      <w:r>
        <w:rPr>
          <w:rFonts w:ascii="Arial" w:cs="Arial" w:eastAsia="Arial" w:hAnsi="Arial"/>
          <w:sz w:val="21"/>
          <w:szCs w:val="21"/>
        </w:rPr>
        <w:t xml:space="preserve">Authorization is checked on the server for every request. Hiding a menu or button is not an authorization check.</w:t>
      </w:r>
    </w:p>
    <w:p>
      <w:pPr>
        <w:pStyle w:val="ListParagraph"/>
        <w:numPr>
          <w:ilvl w:val="0"/>
          <w:numId w:val="3"/>
        </w:numPr>
        <w:spacing w:after="60" w:line="276"/>
      </w:pPr>
      <w:r>
        <w:rPr>
          <w:rFonts w:ascii="Arial" w:cs="Arial" w:eastAsia="Arial" w:hAnsi="Arial"/>
          <w:sz w:val="21"/>
          <w:szCs w:val="21"/>
        </w:rPr>
        <w:t xml:space="preserve">Ledger records are never updated or deleted. Errors are corrected by recording cancelling or adjusting entries, as defined in the Specification.</w:t>
      </w:r>
    </w:p>
    <w:p>
      <w:pPr>
        <w:pStyle w:val="ListParagraph"/>
        <w:numPr>
          <w:ilvl w:val="0"/>
          <w:numId w:val="3"/>
        </w:numPr>
        <w:spacing w:after="60" w:line="276"/>
      </w:pPr>
      <w:r>
        <w:rPr>
          <w:rFonts w:ascii="Arial" w:cs="Arial" w:eastAsia="Arial" w:hAnsi="Arial"/>
          <w:sz w:val="21"/>
          <w:szCs w:val="21"/>
        </w:rPr>
        <w:t xml:space="preserve">Secrets (database credentials, API keys, tokens) are never stored in source code.</w:t>
      </w:r>
    </w:p>
    <w:p>
      <w:pPr>
        <w:keepNext/>
        <w:spacing w:after="80" w:before="120"/>
      </w:pPr>
      <w:r>
        <w:rPr>
          <w:rFonts w:ascii="Arial" w:cs="Arial" w:eastAsia="Arial" w:hAnsi="Arial"/>
          <w:b/>
          <w:bCs/>
          <w:sz w:val="21"/>
          <w:szCs w:val="21"/>
        </w:rPr>
        <w:t xml:space="preserve">2.5 Change Management</w:t>
      </w:r>
    </w:p>
    <w:p>
      <w:pPr>
        <w:spacing w:after="120" w:line="276"/>
      </w:pPr>
      <w:r>
        <w:rPr>
          <w:rFonts w:ascii="Arial" w:cs="Arial" w:eastAsia="Arial" w:hAnsi="Arial"/>
          <w:sz w:val="21"/>
          <w:szCs w:val="21"/>
        </w:rPr>
        <w:t xml:space="preserve">The Specification may be revised during the Project. The Client will send changes in writing (email is sufficient). The Developer will respond within three (3) business days with the estimated effect on hours and schedule, and will proceed once the Client confirms in writing. Work outside Phase 1 requires a written amendment signed by both parties.</w:t>
      </w:r>
    </w:p>
    <w:p>
      <w:pPr>
        <w:keepNext/>
        <w:pBdr>
          <w:bottom w:val="single" w:color="BBBBBB" w:sz="4" w:space="4"/>
        </w:pBdr>
        <w:spacing w:after="120" w:before="300"/>
      </w:pPr>
      <w:r>
        <w:rPr>
          <w:rFonts w:ascii="Arial" w:cs="Arial" w:eastAsia="Arial" w:hAnsi="Arial"/>
          <w:b/>
          <w:bCs/>
          <w:sz w:val="23"/>
          <w:szCs w:val="23"/>
        </w:rPr>
        <w:t xml:space="preserve">3. Project Management</w:t>
      </w:r>
    </w:p>
    <w:p>
      <w:pPr>
        <w:keepNext/>
        <w:spacing w:after="80" w:before="120"/>
      </w:pPr>
      <w:r>
        <w:rPr>
          <w:rFonts w:ascii="Arial" w:cs="Arial" w:eastAsia="Arial" w:hAnsi="Arial"/>
          <w:b/>
          <w:bCs/>
          <w:sz w:val="21"/>
          <w:szCs w:val="21"/>
        </w:rPr>
        <w:t xml:space="preserve">3.1 Schedule</w:t>
      </w:r>
    </w:p>
    <w:p>
      <w:pPr>
        <w:spacing w:after="120" w:line="276"/>
      </w:pPr>
      <w:r>
        <w:rPr>
          <w:rFonts w:ascii="Arial" w:cs="Arial" w:eastAsia="Arial" w:hAnsi="Arial"/>
          <w:sz w:val="21"/>
          <w:szCs w:val="21"/>
        </w:rPr>
        <w:t xml:space="preserve">Work starts on October 1, 2026. Because the Developer is engaged on an hourly basis and the Specification may change, there is no fixed completion date. Any schedule estimate the Developer provides is a good-faith estimate, not a binding commitment, but the Developer will notify the Client promptly of any expected delay.</w:t>
      </w:r>
    </w:p>
    <w:p>
      <w:pPr>
        <w:keepNext/>
        <w:spacing w:after="80" w:before="120"/>
      </w:pPr>
      <w:r>
        <w:rPr>
          <w:rFonts w:ascii="Arial" w:cs="Arial" w:eastAsia="Arial" w:hAnsi="Arial"/>
          <w:b/>
          <w:bCs/>
          <w:sz w:val="21"/>
          <w:szCs w:val="21"/>
        </w:rPr>
        <w:t xml:space="preserve">3.2 Weekly Report</w:t>
      </w:r>
    </w:p>
    <w:p>
      <w:pPr>
        <w:spacing w:after="120" w:line="276"/>
      </w:pPr>
      <w:r>
        <w:rPr>
          <w:rFonts w:ascii="Arial" w:cs="Arial" w:eastAsia="Arial" w:hAnsi="Arial"/>
          <w:sz w:val="21"/>
          <w:szCs w:val="21"/>
        </w:rPr>
        <w:t xml:space="preserve">The Developer will send a short progress report by email each week, covering: work completed, hours used that week and month-to-date, issues or questions, and planned work for the following week. The parties will hold a weekly check-in call at a mutually convenient time.</w:t>
      </w:r>
    </w:p>
    <w:p>
      <w:pPr>
        <w:keepNext/>
        <w:spacing w:after="80" w:before="120"/>
      </w:pPr>
      <w:r>
        <w:rPr>
          <w:rFonts w:ascii="Arial" w:cs="Arial" w:eastAsia="Arial" w:hAnsi="Arial"/>
          <w:b/>
          <w:bCs/>
          <w:sz w:val="21"/>
          <w:szCs w:val="21"/>
        </w:rPr>
        <w:t xml:space="preserve">3.3 Review</w:t>
      </w:r>
    </w:p>
    <w:p>
      <w:pPr>
        <w:spacing w:after="120" w:line="276"/>
      </w:pPr>
      <w:r>
        <w:rPr>
          <w:rFonts w:ascii="Arial" w:cs="Arial" w:eastAsia="Arial" w:hAnsi="Arial"/>
          <w:sz w:val="21"/>
          <w:szCs w:val="21"/>
        </w:rPr>
        <w:t xml:space="preserve">The Client may review any work at any time, and may engage a third party to review the code, database design or security of the Project. The Developer will cooperate reasonably with such reviews; time spent doing so is billable under Section 4.</w:t>
      </w:r>
    </w:p>
    <w:p>
      <w:pPr>
        <w:keepNext/>
        <w:spacing w:after="80" w:before="120"/>
      </w:pPr>
      <w:r>
        <w:rPr>
          <w:rFonts w:ascii="Arial" w:cs="Arial" w:eastAsia="Arial" w:hAnsi="Arial"/>
          <w:b/>
          <w:bCs/>
          <w:sz w:val="21"/>
          <w:szCs w:val="21"/>
        </w:rPr>
        <w:t xml:space="preserve">3.4 No Subcontracting</w:t>
      </w:r>
    </w:p>
    <w:p>
      <w:pPr>
        <w:spacing w:after="120" w:line="276"/>
      </w:pPr>
      <w:r>
        <w:rPr>
          <w:rFonts w:ascii="Arial" w:cs="Arial" w:eastAsia="Arial" w:hAnsi="Arial"/>
          <w:sz w:val="21"/>
          <w:szCs w:val="21"/>
        </w:rPr>
        <w:t xml:space="preserve">The Developer will perform the services personally and will not subcontract or delegate any part of the work without the Client’s prior written consent.</w:t>
      </w:r>
    </w:p>
    <w:p>
      <w:pPr>
        <w:keepNext/>
        <w:pBdr>
          <w:bottom w:val="single" w:color="BBBBBB" w:sz="4" w:space="4"/>
        </w:pBdr>
        <w:spacing w:after="120" w:before="300"/>
      </w:pPr>
      <w:r>
        <w:rPr>
          <w:rFonts w:ascii="Arial" w:cs="Arial" w:eastAsia="Arial" w:hAnsi="Arial"/>
          <w:b/>
          <w:bCs/>
          <w:sz w:val="23"/>
          <w:szCs w:val="23"/>
        </w:rPr>
        <w:t xml:space="preserve">4. Fees and Payment</w:t>
      </w:r>
    </w:p>
    <w:p>
      <w:pPr>
        <w:keepNext/>
        <w:spacing w:after="80" w:before="120"/>
      </w:pPr>
      <w:r>
        <w:rPr>
          <w:rFonts w:ascii="Arial" w:cs="Arial" w:eastAsia="Arial" w:hAnsi="Arial"/>
          <w:b/>
          <w:bCs/>
          <w:sz w:val="21"/>
          <w:szCs w:val="21"/>
        </w:rPr>
        <w:t xml:space="preserve">4.1 Hourly Rate</w:t>
      </w:r>
    </w:p>
    <rootKey>w:r</rootKey>
    <rootKey>w:r</rootKey>
    <rootKey>w:r</rootKey>
    <w:p>
      <w:pPr>
        <w:keepNext/>
        <w:spacing w:after="80" w:before="120"/>
      </w:pPr>
      <w:r>
        <w:rPr>
          <w:rFonts w:ascii="Arial" w:cs="Arial" w:eastAsia="Arial" w:hAnsi="Arial"/>
          <w:b/>
          <w:bCs/>
          <w:sz w:val="21"/>
          <w:szCs w:val="21"/>
        </w:rPr>
        <w:t xml:space="preserve">4.2 Monthly Cap</w:t>
      </w:r>
    </w:p>
    <rootKey>w:r</rootKey>
    <rootKey>w:r</rootKey>
    <rootKey>w:r</rootKey>
    <w:p>
      <w:pPr>
        <w:keepNext/>
        <w:spacing w:after="80" w:before="120"/>
      </w:pPr>
      <w:r>
        <w:rPr>
          <w:rFonts w:ascii="Arial" w:cs="Arial" w:eastAsia="Arial" w:hAnsi="Arial"/>
          <w:b/>
          <w:bCs/>
          <w:sz w:val="21"/>
          <w:szCs w:val="21"/>
        </w:rPr>
        <w:t xml:space="preserve">4.3 Time Records</w:t>
      </w:r>
    </w:p>
    <w:p>
      <w:pPr>
        <w:spacing w:after="120" w:line="276"/>
      </w:pPr>
      <w:r>
        <w:rPr>
          <w:rFonts w:ascii="Arial" w:cs="Arial" w:eastAsia="Arial" w:hAnsi="Arial"/>
          <w:sz w:val="21"/>
          <w:szCs w:val="21"/>
        </w:rPr>
        <w:t xml:space="preserve">The Developer will keep accurate daily time records in increments of no more than fifteen (15) minutes, describing the work performed, and will provide them to the Client on request.</w:t>
      </w:r>
    </w:p>
    <w:p>
      <w:pPr>
        <w:keepNext/>
        <w:spacing w:after="80" w:before="120"/>
      </w:pPr>
      <w:r>
        <w:rPr>
          <w:rFonts w:ascii="Arial" w:cs="Arial" w:eastAsia="Arial" w:hAnsi="Arial"/>
          <w:b/>
          <w:bCs/>
          <w:sz w:val="21"/>
          <w:szCs w:val="21"/>
        </w:rPr>
        <w:t xml:space="preserve">4.4 Monthly Invoice</w:t>
      </w:r>
    </w:p>
    <w:p>
      <w:pPr>
        <w:spacing w:after="120" w:line="276"/>
      </w:pPr>
      <w:r>
        <w:rPr>
          <w:rFonts w:ascii="Arial" w:cs="Arial" w:eastAsia="Arial" w:hAnsi="Arial"/>
          <w:sz w:val="21"/>
          <w:szCs w:val="21"/>
        </w:rPr>
        <w:t xml:space="preserve">Within five (5) business days after the end of each calendar month, the Developer will email the Client a PDF invoice for that month. Each invoice must include:</w:t>
      </w:r>
    </w:p>
    <w:p>
      <w:pPr>
        <w:pStyle w:val="ListParagraph"/>
        <w:numPr>
          <w:ilvl w:val="0"/>
          <w:numId w:val="3"/>
        </w:numPr>
        <w:spacing w:after="60" w:line="276"/>
      </w:pPr>
      <w:r>
        <w:rPr>
          <w:rFonts w:ascii="Arial" w:cs="Arial" w:eastAsia="Arial" w:hAnsi="Arial"/>
          <w:sz w:val="21"/>
          <w:szCs w:val="21"/>
        </w:rPr>
        <w:t xml:space="preserve">the Developer’s full legal name and Ontario address;</w:t>
      </w:r>
    </w:p>
    <w:p>
      <w:pPr>
        <w:pStyle w:val="ListParagraph"/>
        <w:numPr>
          <w:ilvl w:val="0"/>
          <w:numId w:val="3"/>
        </w:numPr>
        <w:spacing w:after="60" w:line="276"/>
      </w:pPr>
      <w:r>
        <w:rPr>
          <w:rFonts w:ascii="Arial" w:cs="Arial" w:eastAsia="Arial" w:hAnsi="Arial"/>
          <w:sz w:val="21"/>
          <w:szCs w:val="21"/>
        </w:rPr>
        <w:t xml:space="preserve">invoice number and invoice date;</w:t>
      </w:r>
    </w:p>
    <w:p>
      <w:pPr>
        <w:pStyle w:val="ListParagraph"/>
        <w:numPr>
          <w:ilvl w:val="0"/>
          <w:numId w:val="3"/>
        </w:numPr>
        <w:spacing w:after="60" w:line="276"/>
      </w:pPr>
      <w:r>
        <w:rPr>
          <w:rFonts w:ascii="Arial" w:cs="Arial" w:eastAsia="Arial" w:hAnsi="Arial"/>
          <w:sz w:val="21"/>
          <w:szCs w:val="21"/>
        </w:rPr>
        <w:t xml:space="preserve">the billing period;</w:t>
      </w:r>
    </w:p>
    <w:p>
      <w:pPr>
        <w:pStyle w:val="ListParagraph"/>
        <w:numPr>
          <w:ilvl w:val="0"/>
          <w:numId w:val="3"/>
        </w:numPr>
        <w:spacing w:after="60" w:line="276"/>
      </w:pPr>
      <w:r>
        <w:rPr>
          <w:rFonts w:ascii="Arial" w:cs="Arial" w:eastAsia="Arial" w:hAnsi="Arial"/>
          <w:sz w:val="21"/>
          <w:szCs w:val="21"/>
        </w:rPr>
        <w:t xml:space="preserve">a description of the work performed, with dates and hours;</w:t>
      </w:r>
    </w:p>
    <w:p>
      <w:pPr>
        <w:pStyle w:val="ListParagraph"/>
        <w:numPr>
          <w:ilvl w:val="0"/>
          <w:numId w:val="3"/>
        </w:numPr>
        <w:spacing w:after="60" w:line="276"/>
      </w:pPr>
      <w:r>
        <w:rPr>
          <w:rFonts w:ascii="Arial" w:cs="Arial" w:eastAsia="Arial" w:hAnsi="Arial"/>
          <w:sz w:val="21"/>
          <w:szCs w:val="21"/>
        </w:rPr>
        <w:t xml:space="preserve">total hours, hourly rate and total amount in CAD; and</w:t>
      </w:r>
    </w:p>
    <w:p>
      <w:pPr>
        <w:pStyle w:val="ListParagraph"/>
        <w:numPr>
          <w:ilvl w:val="0"/>
          <w:numId w:val="3"/>
        </w:numPr>
        <w:spacing w:after="60" w:line="276"/>
      </w:pPr>
      <w:r>
        <w:rPr>
          <w:rFonts w:ascii="Arial" w:cs="Arial" w:eastAsia="Arial" w:hAnsi="Arial"/>
          <w:sz w:val="21"/>
          <w:szCs w:val="21"/>
        </w:rPr>
        <w:t xml:space="preserve">GST/HST registration number and tax amount, if applicable.</w:t>
      </w:r>
    </w:p>
    <w:p>
      <w:pPr>
        <w:spacing w:after="120" w:line="276"/>
      </w:pPr>
      <w:r>
        <w:rPr>
          <w:rFonts w:ascii="Arial" w:cs="Arial" w:eastAsia="Arial" w:hAnsi="Arial"/>
          <w:sz w:val="21"/>
          <w:szCs w:val="21"/>
        </w:rPr>
        <w:t xml:space="preserve">Exhibit B sets out a sample invoice format.</w:t>
      </w:r>
    </w:p>
    <w:p>
      <w:pPr>
        <w:keepNext/>
        <w:spacing w:after="80" w:before="120"/>
      </w:pPr>
      <w:r>
        <w:rPr>
          <w:rFonts w:ascii="Arial" w:cs="Arial" w:eastAsia="Arial" w:hAnsi="Arial"/>
          <w:b/>
          <w:bCs/>
          <w:sz w:val="21"/>
          <w:szCs w:val="21"/>
        </w:rPr>
        <w:t xml:space="preserve">4.5 Payment</w:t>
      </w:r>
    </w:p>
    <w:p>
      <w:pPr>
        <w:spacing w:after="120" w:line="276"/>
      </w:pPr>
      <w:r>
        <w:rPr>
          <w:rFonts w:ascii="Arial" w:cs="Arial" w:eastAsia="Arial" w:hAnsi="Arial"/>
          <w:sz w:val="21"/>
          <w:szCs w:val="21"/>
        </w:rPr>
        <w:t xml:space="preserve">The Client will pay each compliant invoice within fifteen (15) days of receipt, by Interac e-Transfer or bank transfer. If the Client disputes any line item in good faith, it will notify the Developer within ten (10) days of receipt and pay the undisputed portion on time; the parties will resolve the disputed portion promptly. Undisputed amounts unpaid more than ten (10) days after the due date bear interest at 2% per month.</w:t>
      </w:r>
    </w:p>
    <w:p>
      <w:pPr>
        <w:keepNext/>
        <w:spacing w:after="80" w:before="120"/>
      </w:pPr>
      <w:r>
        <w:rPr>
          <w:rFonts w:ascii="Arial" w:cs="Arial" w:eastAsia="Arial" w:hAnsi="Arial"/>
          <w:b/>
          <w:bCs/>
          <w:sz w:val="21"/>
          <w:szCs w:val="21"/>
        </w:rPr>
        <w:t xml:space="preserve">4.6 Expenses</w:t>
      </w:r>
    </w:p>
    <w:p>
      <w:pPr>
        <w:spacing w:after="120" w:line="276"/>
      </w:pPr>
      <w:r>
        <w:rPr>
          <w:rFonts w:ascii="Arial" w:cs="Arial" w:eastAsia="Arial" w:hAnsi="Arial"/>
          <w:sz w:val="21"/>
          <w:szCs w:val="21"/>
        </w:rPr>
        <w:t xml:space="preserve">All services and subscriptions required for the Project (such as Supabase, hosting, domain, email delivery and paid libraries) will be purchased by the Client in its own name. Other expenses are reimbursable only if approved by the Client in writing in advance and supported by receipts.</w:t>
      </w:r>
    </w:p>
    <w:p>
      <w:pPr>
        <w:keepNext/>
        <w:pBdr>
          <w:bottom w:val="single" w:color="BBBBBB" w:sz="4" w:space="4"/>
        </w:pBdr>
        <w:spacing w:after="120" w:before="300"/>
      </w:pPr>
      <w:r>
        <w:rPr>
          <w:rFonts w:ascii="Arial" w:cs="Arial" w:eastAsia="Arial" w:hAnsi="Arial"/>
          <w:b/>
          <w:bCs/>
          <w:sz w:val="23"/>
          <w:szCs w:val="23"/>
        </w:rPr>
        <w:t xml:space="preserve">5. Accounts, Security and Data</w:t>
      </w:r>
    </w:p>
    <w:p>
      <w:pPr>
        <w:keepNext/>
        <w:spacing w:after="80" w:before="120"/>
      </w:pPr>
      <w:r>
        <w:rPr>
          <w:rFonts w:ascii="Arial" w:cs="Arial" w:eastAsia="Arial" w:hAnsi="Arial"/>
          <w:b/>
          <w:bCs/>
          <w:sz w:val="21"/>
          <w:szCs w:val="21"/>
        </w:rPr>
        <w:t xml:space="preserve">5.1 Client-Owned Accounts</w:t>
      </w:r>
    </w:p>
    <w:p>
      <w:pPr>
        <w:spacing w:after="120" w:line="276"/>
      </w:pPr>
      <w:r>
        <w:rPr>
          <w:rFonts w:ascii="Arial" w:cs="Arial" w:eastAsia="Arial" w:hAnsi="Arial"/>
          <w:sz w:val="21"/>
          <w:szCs w:val="21"/>
        </w:rPr>
        <w:t xml:space="preserve">All accounts used for the Project, including source code repositories, Supabase, hosting, domain, DNS and email delivery, will be owned by and registered to the Client. The Developer will access them by invitation and will not hold any Project code, data or configuration in a personal account.</w:t>
      </w:r>
    </w:p>
    <w:p>
      <w:pPr>
        <w:keepNext/>
        <w:spacing w:after="80" w:before="120"/>
      </w:pPr>
      <w:r>
        <w:rPr>
          <w:rFonts w:ascii="Arial" w:cs="Arial" w:eastAsia="Arial" w:hAnsi="Arial"/>
          <w:b/>
          <w:bCs/>
          <w:sz w:val="21"/>
          <w:szCs w:val="21"/>
        </w:rPr>
        <w:t xml:space="preserve">5.2 Credentials</w:t>
      </w:r>
    </w:p>
    <w:p>
      <w:pPr>
        <w:spacing w:after="120" w:line="276"/>
      </w:pPr>
      <w:r>
        <w:rPr>
          <w:rFonts w:ascii="Arial" w:cs="Arial" w:eastAsia="Arial" w:hAnsi="Arial"/>
          <w:sz w:val="21"/>
          <w:szCs w:val="21"/>
        </w:rPr>
        <w:t xml:space="preserve">The Developer will keep all credentials confidential, will not share them with any other person, and will cooperate with the Client to revoke access and rotate all keys, tokens and passwords when this Agreement ends.</w:t>
      </w:r>
    </w:p>
    <w:p>
      <w:pPr>
        <w:keepNext/>
        <w:spacing w:after="80" w:before="120"/>
      </w:pPr>
      <w:r>
        <w:rPr>
          <w:rFonts w:ascii="Arial" w:cs="Arial" w:eastAsia="Arial" w:hAnsi="Arial"/>
          <w:b/>
          <w:bCs/>
          <w:sz w:val="21"/>
          <w:szCs w:val="21"/>
        </w:rPr>
        <w:t xml:space="preserve">5.3 Production Data</w:t>
      </w:r>
    </w:p>
    <w:p>
      <w:pPr>
        <w:spacing w:after="120" w:line="276"/>
      </w:pPr>
      <w:r>
        <w:rPr>
          <w:rFonts w:ascii="Arial" w:cs="Arial" w:eastAsia="Arial" w:hAnsi="Arial"/>
          <w:sz w:val="21"/>
          <w:szCs w:val="21"/>
        </w:rPr>
        <w:t xml:space="preserve">The Project will process real business data, including personal information of contact persons of landlords and tenants located in Korea. The Developer may access production data only when necessary to diagnose or fix a problem. The Developer will not copy production data to a personal device, a development environment or any third-party service; will comply with applicable privacy law, including the Personal Information Protection and Electronic Documents Act (Canada) and the Personal Information Protection Act (Republic of Korea); and will notify the Client within twenty-four (24) hours of becoming aware of any actual or suspected unauthorized access to or disclosure of Project data.</w:t>
      </w:r>
    </w:p>
    <w:p>
      <w:pPr>
        <w:keepNext/>
        <w:spacing w:after="80" w:before="120"/>
      </w:pPr>
      <w:r>
        <w:rPr>
          <w:rFonts w:ascii="Arial" w:cs="Arial" w:eastAsia="Arial" w:hAnsi="Arial"/>
          <w:b/>
          <w:bCs/>
          <w:sz w:val="21"/>
          <w:szCs w:val="21"/>
        </w:rPr>
        <w:t xml:space="preserve">5.4 AI Coding Tools</w:t>
      </w:r>
    </w:p>
    <w:p>
      <w:pPr>
        <w:spacing w:after="120" w:line="276"/>
      </w:pPr>
      <w:r>
        <w:rPr>
          <w:rFonts w:ascii="Arial" w:cs="Arial" w:eastAsia="Arial" w:hAnsi="Arial"/>
          <w:sz w:val="21"/>
          <w:szCs w:val="21"/>
        </w:rPr>
        <w:t xml:space="preserve">The Developer may use AI coding tools in performing the services. The Developer remains fully responsible for all work delivered, whether or not generated with such tools, and will not enter production data, personal information or credentials into any AI tool.</w:t>
      </w:r>
    </w:p>
    <w:p>
      <w:pPr>
        <w:keepNext/>
        <w:pBdr>
          <w:bottom w:val="single" w:color="BBBBBB" w:sz="4" w:space="4"/>
        </w:pBdr>
        <w:spacing w:after="120" w:before="300"/>
      </w:pPr>
      <w:r>
        <w:rPr>
          <w:rFonts w:ascii="Arial" w:cs="Arial" w:eastAsia="Arial" w:hAnsi="Arial"/>
          <w:b/>
          <w:bCs/>
          <w:sz w:val="23"/>
          <w:szCs w:val="23"/>
        </w:rPr>
        <w:t xml:space="preserve">6. Intellectual Property</w:t>
      </w:r>
    </w:p>
    <w:p>
      <w:pPr>
        <w:keepNext/>
        <w:spacing w:after="80" w:before="120"/>
      </w:pPr>
      <w:r>
        <w:rPr>
          <w:rFonts w:ascii="Arial" w:cs="Arial" w:eastAsia="Arial" w:hAnsi="Arial"/>
          <w:b/>
          <w:bCs/>
          <w:sz w:val="21"/>
          <w:szCs w:val="21"/>
        </w:rPr>
        <w:t xml:space="preserve">6.1 Ownership</w:t>
      </w:r>
    </w:p>
    <w:p>
      <w:pPr>
        <w:spacing w:after="120" w:line="276"/>
      </w:pPr>
      <w:r>
        <w:rPr>
          <w:rFonts w:ascii="Arial" w:cs="Arial" w:eastAsia="Arial" w:hAnsi="Arial"/>
          <w:sz w:val="21"/>
          <w:szCs w:val="21"/>
        </w:rPr>
        <w:t xml:space="preserve">All source code, database designs, documentation, tests, configurations and other materials created by the Developer for the Project (the “Work Product”) are the sole property of Positive Thinking Press Inc. The Developer assigns to the Client all right, title and interest, including copyright, in the Work Product as and when it is created. This assignment does not depend on the timing of any payment; the Client’s obligation to pay for hours worked continues under Section 4.</w:t>
      </w:r>
    </w:p>
    <w:p>
      <w:pPr>
        <w:keepNext/>
        <w:spacing w:after="80" w:before="120"/>
      </w:pPr>
      <w:r>
        <w:rPr>
          <w:rFonts w:ascii="Arial" w:cs="Arial" w:eastAsia="Arial" w:hAnsi="Arial"/>
          <w:b/>
          <w:bCs/>
          <w:sz w:val="21"/>
          <w:szCs w:val="21"/>
        </w:rPr>
        <w:t xml:space="preserve">6.2 Moral Rights</w:t>
      </w:r>
    </w:p>
    <w:p>
      <w:pPr>
        <w:spacing w:after="120" w:line="276"/>
      </w:pPr>
      <w:r>
        <w:rPr>
          <w:rFonts w:ascii="Arial" w:cs="Arial" w:eastAsia="Arial" w:hAnsi="Arial"/>
          <w:sz w:val="21"/>
          <w:szCs w:val="21"/>
        </w:rPr>
        <w:t xml:space="preserve">The Developer irrevocably waives in favour of the Client, its successors, licensees and assigns all moral rights the Developer has or may have in the Work Product.</w:t>
      </w:r>
    </w:p>
    <w:p>
      <w:pPr>
        <w:keepNext/>
        <w:spacing w:after="80" w:before="120"/>
      </w:pPr>
      <w:r>
        <w:rPr>
          <w:rFonts w:ascii="Arial" w:cs="Arial" w:eastAsia="Arial" w:hAnsi="Arial"/>
          <w:b/>
          <w:bCs/>
          <w:sz w:val="21"/>
          <w:szCs w:val="21"/>
        </w:rPr>
        <w:t xml:space="preserve">6.3 Further Assurances</w:t>
      </w:r>
    </w:p>
    <w:p>
      <w:pPr>
        <w:spacing w:after="120" w:line="276"/>
      </w:pPr>
      <w:r>
        <w:rPr>
          <w:rFonts w:ascii="Arial" w:cs="Arial" w:eastAsia="Arial" w:hAnsi="Arial"/>
          <w:sz w:val="21"/>
          <w:szCs w:val="21"/>
        </w:rPr>
        <w:t xml:space="preserve">The Developer will sign any document reasonably required to confirm or register the Client’s ownership of the Work Product, during and after the term of this Agreement.</w:t>
      </w:r>
    </w:p>
    <w:p>
      <w:pPr>
        <w:keepNext/>
        <w:spacing w:after="80" w:before="120"/>
      </w:pPr>
      <w:r>
        <w:rPr>
          <w:rFonts w:ascii="Arial" w:cs="Arial" w:eastAsia="Arial" w:hAnsi="Arial"/>
          <w:b/>
          <w:bCs/>
          <w:sz w:val="21"/>
          <w:szCs w:val="21"/>
        </w:rPr>
        <w:t xml:space="preserve">6.4 Pre-Existing Materials</w:t>
      </w:r>
    </w:p>
    <w:p>
      <w:pPr>
        <w:spacing w:after="120" w:line="276"/>
      </w:pPr>
      <w:r>
        <w:rPr>
          <w:rFonts w:ascii="Arial" w:cs="Arial" w:eastAsia="Arial" w:hAnsi="Arial"/>
          <w:sz w:val="21"/>
          <w:szCs w:val="21"/>
        </w:rPr>
        <w:t xml:space="preserve">If the Developer incorporates into the Work Product any code or material that the Developer created before the Effective Date, the Developer will identify it in writing and grants the Client a perpetual, irrevocable, worldwide, royalty-free licence to use, modify and distribute it as part of the Work Product. The Developer will not reuse any part of the Work Product, or any code containing Confidential Information, for any other purpose.</w:t>
      </w:r>
    </w:p>
    <w:p>
      <w:pPr>
        <w:keepNext/>
        <w:spacing w:after="80" w:before="120"/>
      </w:pPr>
      <w:r>
        <w:rPr>
          <w:rFonts w:ascii="Arial" w:cs="Arial" w:eastAsia="Arial" w:hAnsi="Arial"/>
          <w:b/>
          <w:bCs/>
          <w:sz w:val="21"/>
          <w:szCs w:val="21"/>
        </w:rPr>
        <w:t xml:space="preserve">6.5 Third-Party and Open-Source Components</w:t>
      </w:r>
    </w:p>
    <w:p>
      <w:pPr>
        <w:spacing w:after="120" w:line="276"/>
      </w:pPr>
      <w:r>
        <w:rPr>
          <w:rFonts w:ascii="Arial" w:cs="Arial" w:eastAsia="Arial" w:hAnsi="Arial"/>
          <w:sz w:val="21"/>
          <w:szCs w:val="21"/>
        </w:rPr>
        <w:t xml:space="preserve">The Developer will maintain a list of third-party and open-source components used in the Project and their licences. Components under licences that may require disclosure of the Client’s source code (for example GPL or AGPL) may not be used without the Client’s prior written approval.</w:t>
      </w:r>
    </w:p>
    <w:p>
      <w:pPr>
        <w:keepNext/>
        <w:pBdr>
          <w:bottom w:val="single" w:color="BBBBBB" w:sz="4" w:space="4"/>
        </w:pBdr>
        <w:spacing w:after="120" w:before="300"/>
      </w:pPr>
      <w:r>
        <w:rPr>
          <w:rFonts w:ascii="Arial" w:cs="Arial" w:eastAsia="Arial" w:hAnsi="Arial"/>
          <w:b/>
          <w:bCs/>
          <w:sz w:val="23"/>
          <w:szCs w:val="23"/>
        </w:rPr>
        <w:t xml:space="preserve">7. Confidentiality</w:t>
      </w:r>
    </w:p>
    <w:p>
      <w:pPr>
        <w:keepNext/>
        <w:spacing w:after="80" w:before="120"/>
      </w:pPr>
      <w:r>
        <w:rPr>
          <w:rFonts w:ascii="Arial" w:cs="Arial" w:eastAsia="Arial" w:hAnsi="Arial"/>
          <w:b/>
          <w:bCs/>
          <w:sz w:val="21"/>
          <w:szCs w:val="21"/>
        </w:rPr>
        <w:t xml:space="preserve">7.1 Definition</w:t>
      </w:r>
    </w:p>
    <w:p>
      <w:pPr>
        <w:spacing w:after="120" w:line="276"/>
      </w:pPr>
      <w:r>
        <w:rPr>
          <w:rFonts w:ascii="Arial" w:cs="Arial" w:eastAsia="Arial" w:hAnsi="Arial"/>
          <w:sz w:val="21"/>
          <w:szCs w:val="21"/>
        </w:rPr>
        <w:t xml:space="preserve">“Confidential Information” means all non-public information disclosed to or accessed by the Developer in connection with the Project, including the Specification, mock-ups, source code, business plans, pricing, credentials, and all data relating to the Client’s operating companies, buildings, landlords, tenants and users.</w:t>
      </w:r>
    </w:p>
    <w:p>
      <w:pPr>
        <w:keepNext/>
        <w:spacing w:after="80" w:before="120"/>
      </w:pPr>
      <w:r>
        <w:rPr>
          <w:rFonts w:ascii="Arial" w:cs="Arial" w:eastAsia="Arial" w:hAnsi="Arial"/>
          <w:b/>
          <w:bCs/>
          <w:sz w:val="21"/>
          <w:szCs w:val="21"/>
        </w:rPr>
        <w:t xml:space="preserve">7.2 Obligations</w:t>
      </w:r>
    </w:p>
    <w:p>
      <w:pPr>
        <w:spacing w:after="120" w:line="276"/>
      </w:pPr>
      <w:r>
        <w:rPr>
          <w:rFonts w:ascii="Arial" w:cs="Arial" w:eastAsia="Arial" w:hAnsi="Arial"/>
          <w:sz w:val="21"/>
          <w:szCs w:val="21"/>
        </w:rPr>
        <w:t xml:space="preserve">The Developer will use Confidential Information only to perform this Agreement, will not disclose it to any third party, and will protect it with at least reasonable care. These obligations do not apply to information that is or becomes public through no fault of the Developer, or that the Developer is required by law to disclose (after giving the Client prompt notice where lawful).</w:t>
      </w:r>
    </w:p>
    <w:p>
      <w:pPr>
        <w:keepNext/>
        <w:spacing w:after="80" w:before="120"/>
      </w:pPr>
      <w:r>
        <w:rPr>
          <w:rFonts w:ascii="Arial" w:cs="Arial" w:eastAsia="Arial" w:hAnsi="Arial"/>
          <w:b/>
          <w:bCs/>
          <w:sz w:val="21"/>
          <w:szCs w:val="21"/>
        </w:rPr>
        <w:t xml:space="preserve">7.3 Duration</w:t>
      </w:r>
    </w:p>
    <w:p>
      <w:pPr>
        <w:spacing w:after="120" w:line="276"/>
      </w:pPr>
      <w:r>
        <w:rPr>
          <w:rFonts w:ascii="Arial" w:cs="Arial" w:eastAsia="Arial" w:hAnsi="Arial"/>
          <w:sz w:val="21"/>
          <w:szCs w:val="21"/>
        </w:rPr>
        <w:t xml:space="preserve">These obligations survive termination of this Agreement for five (5) years, except that obligations relating to personal information and credentials continue indefinitely.</w:t>
      </w:r>
    </w:p>
    <w:p>
      <w:pPr>
        <w:keepNext/>
        <w:pBdr>
          <w:bottom w:val="single" w:color="BBBBBB" w:sz="4" w:space="4"/>
        </w:pBdr>
        <w:spacing w:after="120" w:before="300"/>
      </w:pPr>
      <w:r>
        <w:rPr>
          <w:rFonts w:ascii="Arial" w:cs="Arial" w:eastAsia="Arial" w:hAnsi="Arial"/>
          <w:b/>
          <w:bCs/>
          <w:sz w:val="23"/>
          <w:szCs w:val="23"/>
        </w:rPr>
        <w:t xml:space="preserve">8. Warranties</w:t>
      </w:r>
    </w:p>
    <w:p>
      <w:pPr>
        <w:keepNext/>
        <w:spacing w:after="80" w:before="120"/>
      </w:pPr>
      <w:r>
        <w:rPr>
          <w:rFonts w:ascii="Arial" w:cs="Arial" w:eastAsia="Arial" w:hAnsi="Arial"/>
          <w:b/>
          <w:bCs/>
          <w:sz w:val="21"/>
          <w:szCs w:val="21"/>
        </w:rPr>
        <w:t xml:space="preserve">8.1 Developer Warranties</w:t>
      </w:r>
    </w:p>
    <w:p>
      <w:pPr>
        <w:spacing w:after="120" w:line="276"/>
      </w:pPr>
      <w:r>
        <w:rPr>
          <w:rFonts w:ascii="Arial" w:cs="Arial" w:eastAsia="Arial" w:hAnsi="Arial"/>
          <w:sz w:val="21"/>
          <w:szCs w:val="21"/>
        </w:rPr>
        <w:t xml:space="preserve">The Developer warrants that they are qualified to perform the services; that the services will be performed in a professional manner consistent with the Specification and the Technical Standards in Section 2.4; that, to the best of the Developer’s knowledge, the Work Product does not infringe the intellectual property rights of any third party; and that the Work Product will not knowingly contain malicious code.</w:t>
      </w:r>
    </w:p>
    <w:p>
      <w:pPr>
        <w:keepNext/>
        <w:spacing w:after="80" w:before="120"/>
      </w:pPr>
      <w:r>
        <w:rPr>
          <w:rFonts w:ascii="Arial" w:cs="Arial" w:eastAsia="Arial" w:hAnsi="Arial"/>
          <w:b/>
          <w:bCs/>
          <w:sz w:val="21"/>
          <w:szCs w:val="21"/>
        </w:rPr>
        <w:t xml:space="preserve">8.2 Defect Correction</w:t>
      </w:r>
    </w:p>
    <w:p>
      <w:pPr>
        <w:spacing w:after="120" w:line="276"/>
      </w:pPr>
      <w:r>
        <w:rPr>
          <w:rFonts w:ascii="Arial" w:cs="Arial" w:eastAsia="Arial" w:hAnsi="Arial"/>
          <w:sz w:val="21"/>
          <w:szCs w:val="21"/>
        </w:rPr>
        <w:t xml:space="preserve">Defects reported within sixty (60) days after delivery of a feature, caused by the Developer’s failure to follow the Specification or the Technical Standards, will be corrected without charge. Other corrections and changes are billable under Section 4.</w:t>
      </w:r>
    </w:p>
    <w:p>
      <w:pPr>
        <w:keepNext/>
        <w:pBdr>
          <w:bottom w:val="single" w:color="BBBBBB" w:sz="4" w:space="4"/>
        </w:pBdr>
        <w:spacing w:after="120" w:before="300"/>
      </w:pPr>
      <w:r>
        <w:rPr>
          <w:rFonts w:ascii="Arial" w:cs="Arial" w:eastAsia="Arial" w:hAnsi="Arial"/>
          <w:b/>
          <w:bCs/>
          <w:sz w:val="23"/>
          <w:szCs w:val="23"/>
        </w:rPr>
        <w:t xml:space="preserve">9. Indemnification</w:t>
      </w:r>
    </w:p>
    <w:p>
      <w:pPr>
        <w:spacing w:after="120" w:line="276"/>
      </w:pPr>
      <w:r>
        <w:rPr>
          <w:rFonts w:ascii="Arial" w:cs="Arial" w:eastAsia="Arial" w:hAnsi="Arial"/>
          <w:sz w:val="21"/>
          <w:szCs w:val="21"/>
        </w:rPr>
        <w:t xml:space="preserve">Each party will indemnify the other against third-party claims resulting from its own breach of this Agreement or violation of applicable law.</w:t>
      </w:r>
    </w:p>
    <w:p>
      <w:pPr>
        <w:keepNext/>
        <w:pBdr>
          <w:bottom w:val="single" w:color="BBBBBB" w:sz="4" w:space="4"/>
        </w:pBdr>
        <w:spacing w:after="120" w:before="300"/>
      </w:pPr>
      <w:r>
        <w:rPr>
          <w:rFonts w:ascii="Arial" w:cs="Arial" w:eastAsia="Arial" w:hAnsi="Arial"/>
          <w:b/>
          <w:bCs/>
          <w:sz w:val="23"/>
          <w:szCs w:val="23"/>
        </w:rPr>
        <w:t xml:space="preserve">10. Limitation of Liability</w:t>
      </w:r>
    </w:p>
    <w:p>
      <w:pPr>
        <w:keepNext/>
        <w:spacing w:after="80" w:before="120"/>
      </w:pPr>
      <w:r>
        <w:rPr>
          <w:rFonts w:ascii="Arial" w:cs="Arial" w:eastAsia="Arial" w:hAnsi="Arial"/>
          <w:b/>
          <w:bCs/>
          <w:sz w:val="21"/>
          <w:szCs w:val="21"/>
        </w:rPr>
        <w:t xml:space="preserve">10.1 Liability Cap</w:t>
      </w:r>
    </w:p>
    <w:p>
      <w:pPr>
        <w:spacing w:after="120" w:line="276"/>
      </w:pPr>
      <w:r>
        <w:rPr>
          <w:rFonts w:ascii="Arial" w:cs="Arial" w:eastAsia="Arial" w:hAnsi="Arial"/>
          <w:sz w:val="21"/>
          <w:szCs w:val="21"/>
        </w:rPr>
        <w:t xml:space="preserve">Each party’s total liability under this Agreement is limited to the total fees paid or payable under this Agreement in the twelve (12) months preceding the event giving rise to the claim.</w:t>
      </w:r>
    </w:p>
    <w:p>
      <w:pPr>
        <w:keepNext/>
        <w:spacing w:after="80" w:before="120"/>
      </w:pPr>
      <w:r>
        <w:rPr>
          <w:rFonts w:ascii="Arial" w:cs="Arial" w:eastAsia="Arial" w:hAnsi="Arial"/>
          <w:b/>
          <w:bCs/>
          <w:sz w:val="21"/>
          <w:szCs w:val="21"/>
        </w:rPr>
        <w:t xml:space="preserve">10.2 Exclusions</w:t>
      </w:r>
    </w:p>
    <w:p>
      <w:pPr>
        <w:spacing w:after="120" w:line="276"/>
      </w:pPr>
      <w:r>
        <w:rPr>
          <w:rFonts w:ascii="Arial" w:cs="Arial" w:eastAsia="Arial" w:hAnsi="Arial"/>
          <w:sz w:val="21"/>
          <w:szCs w:val="21"/>
        </w:rPr>
        <w:t xml:space="preserve">Neither party is liable for indirect, incidental or consequential damages, including lost profits or revenue. The cap in Section 10.1 and this exclusion do not apply to breaches of Section 5 (Accounts, Security and Data), Section 6 (Intellectual Property) or Section 7 (Confidentiality), or to wilful misconduct.</w:t>
      </w:r>
    </w:p>
    <w:p>
      <w:pPr>
        <w:keepNext/>
        <w:pBdr>
          <w:bottom w:val="single" w:color="BBBBBB" w:sz="4" w:space="4"/>
        </w:pBdr>
        <w:spacing w:after="120" w:before="300"/>
      </w:pPr>
      <w:r>
        <w:rPr>
          <w:rFonts w:ascii="Arial" w:cs="Arial" w:eastAsia="Arial" w:hAnsi="Arial"/>
          <w:b/>
          <w:bCs/>
          <w:sz w:val="23"/>
          <w:szCs w:val="23"/>
        </w:rPr>
        <w:t xml:space="preserve">11. Term and Termination</w:t>
      </w:r>
    </w:p>
    <w:p>
      <w:pPr>
        <w:keepNext/>
        <w:spacing w:after="80" w:before="120"/>
      </w:pPr>
      <w:r>
        <w:rPr>
          <w:rFonts w:ascii="Arial" w:cs="Arial" w:eastAsia="Arial" w:hAnsi="Arial"/>
          <w:b/>
          <w:bCs/>
          <w:sz w:val="21"/>
          <w:szCs w:val="21"/>
        </w:rPr>
        <w:t xml:space="preserve">11.1 Term</w:t>
      </w:r>
    </w:p>
    <w:p>
      <w:pPr>
        <w:spacing w:after="120" w:line="276"/>
      </w:pPr>
      <w:r>
        <w:rPr>
          <w:rFonts w:ascii="Arial" w:cs="Arial" w:eastAsia="Arial" w:hAnsi="Arial"/>
          <w:sz w:val="21"/>
          <w:szCs w:val="21"/>
        </w:rPr>
        <w:t xml:space="preserve">This Agreement begins on the Effective Date and continues until Phase 1 is completed or the Agreement is terminated under this Section.</w:t>
      </w:r>
    </w:p>
    <w:p>
      <w:pPr>
        <w:keepNext/>
        <w:spacing w:after="80" w:before="120"/>
      </w:pPr>
      <w:r>
        <w:rPr>
          <w:rFonts w:ascii="Arial" w:cs="Arial" w:eastAsia="Arial" w:hAnsi="Arial"/>
          <w:b/>
          <w:bCs/>
          <w:sz w:val="21"/>
          <w:szCs w:val="21"/>
        </w:rPr>
        <w:t xml:space="preserve">11.2 Termination for Convenience</w:t>
      </w:r>
    </w:p>
    <w:p>
      <w:pPr>
        <w:spacing w:after="120" w:line="276"/>
      </w:pPr>
      <w:r>
        <w:rPr>
          <w:rFonts w:ascii="Arial" w:cs="Arial" w:eastAsia="Arial" w:hAnsi="Arial"/>
          <w:sz w:val="21"/>
          <w:szCs w:val="21"/>
        </w:rPr>
        <w:t xml:space="preserve">Either party may terminate this Agreement on fourteen (14) days’ written notice.</w:t>
      </w:r>
    </w:p>
    <w:p>
      <w:pPr>
        <w:keepNext/>
        <w:spacing w:after="80" w:before="120"/>
      </w:pPr>
      <w:r>
        <w:rPr>
          <w:rFonts w:ascii="Arial" w:cs="Arial" w:eastAsia="Arial" w:hAnsi="Arial"/>
          <w:b/>
          <w:bCs/>
          <w:sz w:val="21"/>
          <w:szCs w:val="21"/>
        </w:rPr>
        <w:t xml:space="preserve">11.3 Termination for Cause</w:t>
      </w:r>
    </w:p>
    <w:p>
      <w:pPr>
        <w:spacing w:after="120" w:line="276"/>
      </w:pPr>
      <w:r>
        <w:rPr>
          <w:rFonts w:ascii="Arial" w:cs="Arial" w:eastAsia="Arial" w:hAnsi="Arial"/>
          <w:sz w:val="21"/>
          <w:szCs w:val="21"/>
        </w:rPr>
        <w:t xml:space="preserve">Either party may terminate this Agreement immediately by written notice if the other party commits a material breach that is not cured within seven (7) days after written notice of the breach.</w:t>
      </w:r>
    </w:p>
    <w:p>
      <w:pPr>
        <w:keepNext/>
        <w:spacing w:after="80" w:before="120"/>
      </w:pPr>
      <w:r>
        <w:rPr>
          <w:rFonts w:ascii="Arial" w:cs="Arial" w:eastAsia="Arial" w:hAnsi="Arial"/>
          <w:b/>
          <w:bCs/>
          <w:sz w:val="21"/>
          <w:szCs w:val="21"/>
        </w:rPr>
        <w:t xml:space="preserve">11.4 Effect of Termination</w:t>
      </w:r>
    </w:p>
    <w:p>
      <w:pPr>
        <w:spacing w:after="120" w:line="276"/>
      </w:pPr>
      <w:r>
        <w:rPr>
          <w:rFonts w:ascii="Arial" w:cs="Arial" w:eastAsia="Arial" w:hAnsi="Arial"/>
          <w:sz w:val="21"/>
          <w:szCs w:val="21"/>
        </w:rPr>
        <w:t xml:space="preserve">On termination for any reason:</w:t>
      </w:r>
    </w:p>
    <w:p>
      <w:pPr>
        <w:pStyle w:val="ListParagraph"/>
        <w:numPr>
          <w:ilvl w:val="0"/>
          <w:numId w:val="4"/>
        </w:numPr>
        <w:spacing w:after="60" w:line="276"/>
      </w:pPr>
      <w:r>
        <w:rPr>
          <w:rFonts w:ascii="Arial" w:cs="Arial" w:eastAsia="Arial" w:hAnsi="Arial"/>
          <w:sz w:val="21"/>
          <w:szCs w:val="21"/>
        </w:rPr>
        <w:t xml:space="preserve">the Client will pay for all hours properly worked up to the termination date, in accordance with Section 4;</w:t>
      </w:r>
    </w:p>
    <w:p>
      <w:pPr>
        <w:pStyle w:val="ListParagraph"/>
        <w:numPr>
          <w:ilvl w:val="0"/>
          <w:numId w:val="4"/>
        </w:numPr>
        <w:spacing w:after="60" w:line="276"/>
      </w:pPr>
      <w:r>
        <w:rPr>
          <w:rFonts w:ascii="Arial" w:cs="Arial" w:eastAsia="Arial" w:hAnsi="Arial"/>
          <w:sz w:val="21"/>
          <w:szCs w:val="21"/>
        </w:rPr>
        <w:t xml:space="preserve">the Developer will commit all work in progress to the Client’s repository and deliver a short written handover note describing the state of the work;</w:t>
      </w:r>
    </w:p>
    <w:p>
      <w:pPr>
        <w:pStyle w:val="ListParagraph"/>
        <w:numPr>
          <w:ilvl w:val="0"/>
          <w:numId w:val="4"/>
        </w:numPr>
        <w:spacing w:after="60" w:line="276"/>
      </w:pPr>
      <w:r>
        <w:rPr>
          <w:rFonts w:ascii="Arial" w:cs="Arial" w:eastAsia="Arial" w:hAnsi="Arial"/>
          <w:sz w:val="21"/>
          <w:szCs w:val="21"/>
        </w:rPr>
        <w:t xml:space="preserve">the Developer will return or securely delete all Confidential Information and confirm this in writing; and</w:t>
      </w:r>
    </w:p>
    <w:p>
      <w:pPr>
        <w:pStyle w:val="ListParagraph"/>
        <w:numPr>
          <w:ilvl w:val="0"/>
          <w:numId w:val="4"/>
        </w:numPr>
        <w:spacing w:after="60" w:line="276"/>
      </w:pPr>
      <w:r>
        <w:rPr>
          <w:rFonts w:ascii="Arial" w:cs="Arial" w:eastAsia="Arial" w:hAnsi="Arial"/>
          <w:sz w:val="21"/>
          <w:szCs w:val="21"/>
        </w:rPr>
        <w:t xml:space="preserve">the Developer will cooperate with the revocation of access and rotation of credentials under Section 5.2.</w:t>
      </w:r>
    </w:p>
    <w:p>
      <w:pPr>
        <w:keepNext/>
        <w:pBdr>
          <w:bottom w:val="single" w:color="BBBBBB" w:sz="4" w:space="4"/>
        </w:pBdr>
        <w:spacing w:after="120" w:before="300"/>
      </w:pPr>
      <w:r>
        <w:rPr>
          <w:rFonts w:ascii="Arial" w:cs="Arial" w:eastAsia="Arial" w:hAnsi="Arial"/>
          <w:b/>
          <w:bCs/>
          <w:sz w:val="23"/>
          <w:szCs w:val="23"/>
        </w:rPr>
        <w:t xml:space="preserve">12. Dispute Resolution</w:t>
      </w:r>
    </w:p>
    <w:p>
      <w:pPr>
        <w:keepNext/>
        <w:spacing w:after="80" w:before="120"/>
      </w:pPr>
      <w:r>
        <w:rPr>
          <w:rFonts w:ascii="Arial" w:cs="Arial" w:eastAsia="Arial" w:hAnsi="Arial"/>
          <w:b/>
          <w:bCs/>
          <w:sz w:val="21"/>
          <w:szCs w:val="21"/>
        </w:rPr>
        <w:t xml:space="preserve">12.1 Governing Law</w:t>
      </w:r>
    </w:p>
    <w:p>
      <w:pPr>
        <w:spacing w:after="120" w:line="276"/>
      </w:pPr>
      <w:r>
        <w:rPr>
          <w:rFonts w:ascii="Arial" w:cs="Arial" w:eastAsia="Arial" w:hAnsi="Arial"/>
          <w:sz w:val="21"/>
          <w:szCs w:val="21"/>
        </w:rPr>
        <w:t xml:space="preserve">This Agreement is governed by the laws of the Province of British Columbia and the federal laws of Canada applicable there.</w:t>
      </w:r>
    </w:p>
    <w:p>
      <w:pPr>
        <w:keepNext/>
        <w:spacing w:after="80" w:before="120"/>
      </w:pPr>
      <w:r>
        <w:rPr>
          <w:rFonts w:ascii="Arial" w:cs="Arial" w:eastAsia="Arial" w:hAnsi="Arial"/>
          <w:b/>
          <w:bCs/>
          <w:sz w:val="21"/>
          <w:szCs w:val="21"/>
        </w:rPr>
        <w:t xml:space="preserve">12.2 Process</w:t>
      </w:r>
    </w:p>
    <w:p>
      <w:pPr>
        <w:spacing w:after="120" w:line="276"/>
      </w:pPr>
      <w:r>
        <w:rPr>
          <w:rFonts w:ascii="Arial" w:cs="Arial" w:eastAsia="Arial" w:hAnsi="Arial"/>
          <w:sz w:val="21"/>
          <w:szCs w:val="21"/>
        </w:rPr>
        <w:t xml:space="preserve">The parties will first try to resolve any dispute through good-faith negotiation, then by mediation. If the dispute is not resolved, either party may refer it to arbitration seated in Vancouver, British Columbia. Mediation and arbitration hearings may be conducted by video conference.</w:t>
      </w:r>
    </w:p>
    <w:p>
      <w:pPr>
        <w:keepNext/>
        <w:pBdr>
          <w:bottom w:val="single" w:color="BBBBBB" w:sz="4" w:space="4"/>
        </w:pBdr>
        <w:spacing w:after="120" w:before="300"/>
      </w:pPr>
      <w:r>
        <w:rPr>
          <w:rFonts w:ascii="Arial" w:cs="Arial" w:eastAsia="Arial" w:hAnsi="Arial"/>
          <w:b/>
          <w:bCs/>
          <w:sz w:val="23"/>
          <w:szCs w:val="23"/>
        </w:rPr>
        <w:t xml:space="preserve">13. General Provisions</w:t>
      </w:r>
    </w:p>
    <w:p>
      <w:pPr>
        <w:keepNext/>
        <w:spacing w:after="80" w:before="120"/>
      </w:pPr>
      <w:r>
        <w:rPr>
          <w:rFonts w:ascii="Arial" w:cs="Arial" w:eastAsia="Arial" w:hAnsi="Arial"/>
          <w:b/>
          <w:bCs/>
          <w:sz w:val="21"/>
          <w:szCs w:val="21"/>
        </w:rPr>
        <w:t xml:space="preserve">13.1 Assignment</w:t>
      </w:r>
    </w:p>
    <w:p>
      <w:pPr>
        <w:spacing w:after="120" w:line="276"/>
      </w:pPr>
      <w:r>
        <w:rPr>
          <w:rFonts w:ascii="Arial" w:cs="Arial" w:eastAsia="Arial" w:hAnsi="Arial"/>
          <w:sz w:val="21"/>
          <w:szCs w:val="21"/>
        </w:rPr>
        <w:t xml:space="preserve">Neither party may assign this Agreement without the other party’s prior written consent.</w:t>
      </w:r>
    </w:p>
    <w:p>
      <w:pPr>
        <w:keepNext/>
        <w:spacing w:after="80" w:before="120"/>
      </w:pPr>
      <w:r>
        <w:rPr>
          <w:rFonts w:ascii="Arial" w:cs="Arial" w:eastAsia="Arial" w:hAnsi="Arial"/>
          <w:b/>
          <w:bCs/>
          <w:sz w:val="21"/>
          <w:szCs w:val="21"/>
        </w:rPr>
        <w:t xml:space="preserve">13.2 Notices</w:t>
      </w:r>
    </w:p>
    <w:p>
      <w:pPr>
        <w:spacing w:after="120" w:line="276"/>
      </w:pPr>
      <w:r>
        <w:rPr>
          <w:rFonts w:ascii="Arial" w:cs="Arial" w:eastAsia="Arial" w:hAnsi="Arial"/>
          <w:sz w:val="21"/>
          <w:szCs w:val="21"/>
        </w:rPr>
        <w:t xml:space="preserve">Notices under this Agreement are given by email to the addresses set out above (or another address a party designates in writing) and are effective on the business day after they are sent.</w:t>
      </w:r>
    </w:p>
    <w:p>
      <w:pPr>
        <w:keepNext/>
        <w:spacing w:after="80" w:before="120"/>
      </w:pPr>
      <w:r>
        <w:rPr>
          <w:rFonts w:ascii="Arial" w:cs="Arial" w:eastAsia="Arial" w:hAnsi="Arial"/>
          <w:b/>
          <w:bCs/>
          <w:sz w:val="21"/>
          <w:szCs w:val="21"/>
        </w:rPr>
        <w:t xml:space="preserve">13.3 Entire Agreement</w:t>
      </w:r>
    </w:p>
    <w:p>
      <w:pPr>
        <w:spacing w:after="120" w:line="276"/>
      </w:pPr>
      <w:r>
        <w:rPr>
          <w:rFonts w:ascii="Arial" w:cs="Arial" w:eastAsia="Arial" w:hAnsi="Arial"/>
          <w:sz w:val="21"/>
          <w:szCs w:val="21"/>
        </w:rPr>
        <w:t xml:space="preserve">This Agreement, including its Exhibits, is the entire agreement between the parties regarding its subject matter and supersedes all prior discussions.</w:t>
      </w:r>
    </w:p>
    <w:p>
      <w:pPr>
        <w:keepNext/>
        <w:spacing w:after="80" w:before="120"/>
      </w:pPr>
      <w:r>
        <w:rPr>
          <w:rFonts w:ascii="Arial" w:cs="Arial" w:eastAsia="Arial" w:hAnsi="Arial"/>
          <w:b/>
          <w:bCs/>
          <w:sz w:val="21"/>
          <w:szCs w:val="21"/>
        </w:rPr>
        <w:t xml:space="preserve">13.4 Amendments</w:t>
      </w:r>
    </w:p>
    <w:p>
      <w:pPr>
        <w:spacing w:after="120" w:line="276"/>
      </w:pPr>
      <w:r>
        <w:rPr>
          <w:rFonts w:ascii="Arial" w:cs="Arial" w:eastAsia="Arial" w:hAnsi="Arial"/>
          <w:sz w:val="21"/>
          <w:szCs w:val="21"/>
        </w:rPr>
        <w:t xml:space="preserve">This Agreement may be amended only in writing signed by both parties, except that changes to the Specification are made under Section 2.5.</w:t>
      </w:r>
    </w:p>
    <w:p>
      <w:pPr>
        <w:keepNext/>
        <w:spacing w:after="80" w:before="120"/>
      </w:pPr>
      <w:r>
        <w:rPr>
          <w:rFonts w:ascii="Arial" w:cs="Arial" w:eastAsia="Arial" w:hAnsi="Arial"/>
          <w:b/>
          <w:bCs/>
          <w:sz w:val="21"/>
          <w:szCs w:val="21"/>
        </w:rPr>
        <w:t xml:space="preserve">13.5 Waiver</w:t>
      </w:r>
    </w:p>
    <w:p>
      <w:pPr>
        <w:spacing w:after="120" w:line="276"/>
      </w:pPr>
      <w:r>
        <w:rPr>
          <w:rFonts w:ascii="Arial" w:cs="Arial" w:eastAsia="Arial" w:hAnsi="Arial"/>
          <w:sz w:val="21"/>
          <w:szCs w:val="21"/>
        </w:rPr>
        <w:t xml:space="preserve">No waiver is effective unless in writing. A waiver of one breach is not a waiver of any other breach.</w:t>
      </w:r>
    </w:p>
    <w:p>
      <w:pPr>
        <w:keepNext/>
        <w:spacing w:after="80" w:before="120"/>
      </w:pPr>
      <w:r>
        <w:rPr>
          <w:rFonts w:ascii="Arial" w:cs="Arial" w:eastAsia="Arial" w:hAnsi="Arial"/>
          <w:b/>
          <w:bCs/>
          <w:sz w:val="21"/>
          <w:szCs w:val="21"/>
        </w:rPr>
        <w:t xml:space="preserve">13.6 Severability</w:t>
      </w:r>
    </w:p>
    <w:p>
      <w:pPr>
        <w:spacing w:after="120" w:line="276"/>
      </w:pPr>
      <w:r>
        <w:rPr>
          <w:rFonts w:ascii="Arial" w:cs="Arial" w:eastAsia="Arial" w:hAnsi="Arial"/>
          <w:sz w:val="21"/>
          <w:szCs w:val="21"/>
        </w:rPr>
        <w:t xml:space="preserve">If any provision is found unenforceable, the remaining provisions remain in full force.</w:t>
      </w:r>
    </w:p>
    <w:p>
      <w:pPr>
        <w:keepNext/>
        <w:spacing w:after="80" w:before="120"/>
      </w:pPr>
      <w:r>
        <w:rPr>
          <w:rFonts w:ascii="Arial" w:cs="Arial" w:eastAsia="Arial" w:hAnsi="Arial"/>
          <w:b/>
          <w:bCs/>
          <w:sz w:val="21"/>
          <w:szCs w:val="21"/>
        </w:rPr>
        <w:t xml:space="preserve">13.7 Survival</w:t>
      </w:r>
    </w:p>
    <w:p>
      <w:pPr>
        <w:spacing w:after="120" w:line="276"/>
      </w:pPr>
      <w:r>
        <w:rPr>
          <w:rFonts w:ascii="Arial" w:cs="Arial" w:eastAsia="Arial" w:hAnsi="Arial"/>
          <w:sz w:val="21"/>
          <w:szCs w:val="21"/>
        </w:rPr>
        <w:t xml:space="preserve">Sections 1.3, 5, 6, 7, 9, 10, 11.4 and 12 survive termination of this Agreement.</w:t>
      </w:r>
    </w:p>
    <w:p>
      <w:pPr>
        <w:keepNext/>
        <w:spacing w:after="80" w:before="120"/>
      </w:pPr>
      <w:r>
        <w:rPr>
          <w:rFonts w:ascii="Arial" w:cs="Arial" w:eastAsia="Arial" w:hAnsi="Arial"/>
          <w:b/>
          <w:bCs/>
          <w:sz w:val="21"/>
          <w:szCs w:val="21"/>
        </w:rPr>
        <w:t xml:space="preserve">13.8 Counterparts and Electronic Signature</w:t>
      </w:r>
    </w:p>
    <w:p>
      <w:pPr>
        <w:spacing w:after="120" w:line="276"/>
      </w:pPr>
      <w:r>
        <w:rPr>
          <w:rFonts w:ascii="Arial" w:cs="Arial" w:eastAsia="Arial" w:hAnsi="Arial"/>
          <w:sz w:val="21"/>
          <w:szCs w:val="21"/>
        </w:rPr>
        <w:t xml:space="preserve">This Agreement may be signed in counterparts and by electronic signature, each of which is an original.</w:t>
      </w:r>
    </w:p>
    <w:p>
      <w:pPr>
        <w:keepNext/>
        <w:spacing w:after="240" w:before="360"/>
      </w:pPr>
      <w:r>
        <w:rPr>
          <w:rFonts w:ascii="Arial" w:cs="Arial" w:eastAsia="Arial" w:hAnsi="Arial"/>
          <w:b/>
          <w:bCs/>
          <w:sz w:val="21"/>
          <w:szCs w:val="21"/>
        </w:rPr>
        <w:t xml:space="preserve">IN WITNESS WHEREOF, the parties have executed this Agreement as of the Effective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spacing w:after="120" w:line="276"/>
            </w:pPr>
            <w:r>
              <w:rPr>
                <w:rFonts w:ascii="Arial" w:cs="Arial" w:eastAsia="Arial" w:hAnsi="Arial"/>
                <w:b/>
                <w:bCs/>
                <w:sz w:val="21"/>
                <w:szCs w:val="21"/>
              </w:rPr>
              <w:t xml:space="preserve">CLIENT</w:t>
            </w:r>
          </w:p>
          <w:p>
            <w:pPr>
              <w:spacing w:after="120" w:line="276"/>
            </w:pPr>
            <w:r>
              <w:rPr>
                <w:rFonts w:ascii="Arial" w:cs="Arial" w:eastAsia="Arial" w:hAnsi="Arial"/>
                <w:sz w:val="21"/>
                <w:szCs w:val="21"/>
              </w:rPr>
              <w:t xml:space="preserve">Positive Thinking Press Inc.</w:t>
            </w:r>
          </w:p>
          <w:p>
            <w:pPr>
              <w:spacing w:after="120" w:before="360"/>
            </w:pPr>
            <w:r>
              <w:rPr>
                <w:rFonts w:ascii="Arial" w:cs="Arial" w:eastAsia="Arial" w:hAnsi="Arial"/>
                <w:sz w:val="21"/>
                <w:szCs w:val="21"/>
              </w:rPr>
              <w:t xml:space="preserve">By: </w:t>
            </w:r>
            <w:r>
              <w:rPr>
                <w:rFonts w:ascii="Arial" w:cs="Arial" w:eastAsia="Arial" w:hAnsi="Arial"/>
                <w:sz w:val="21"/>
                <w:szCs w:val="21"/>
              </w:rPr>
              <w:t xml:space="preserve">__________________________</w:t>
            </w:r>
          </w:p>
          <w:p>
            <w:pPr>
              <w:spacing w:after="120" w:line="276"/>
            </w:pPr>
            <w:r>
              <w:rPr>
                <w:rFonts w:ascii="Arial" w:cs="Arial" w:eastAsia="Arial" w:hAnsi="Arial"/>
                <w:sz w:val="21"/>
                <w:szCs w:val="21"/>
              </w:rPr>
              <w:t xml:space="preserve">Name: Juan Chung</w:t>
            </w:r>
          </w:p>
          <w:p>
            <w:pPr>
              <w:spacing w:after="120" w:line="276"/>
            </w:pPr>
            <w:r>
              <w:rPr>
                <w:rFonts w:ascii="Arial" w:cs="Arial" w:eastAsia="Arial" w:hAnsi="Arial"/>
                <w:sz w:val="21"/>
                <w:szCs w:val="21"/>
              </w:rPr>
              <w:t xml:space="preserve">Title: Executive Director</w:t>
            </w:r>
          </w:p>
          <w:p>
            <w:pPr>
              <w:spacing w:after="120" w:line="276"/>
            </w:pPr>
            <w:r>
              <w:rPr>
                <w:rFonts w:ascii="Arial" w:cs="Arial" w:eastAsia="Arial" w:hAnsi="Arial"/>
                <w:sz w:val="21"/>
                <w:szCs w:val="21"/>
              </w:rPr>
              <w:t xml:space="preserve">Date: </w:t>
            </w:r>
            <w:r>
              <w:rPr>
                <w:rFonts w:ascii="Arial" w:cs="Arial" w:eastAsia="Arial" w:hAnsi="Arial"/>
                <w:sz w:val="21"/>
                <w:szCs w:val="21"/>
              </w:rPr>
              <w:t xml:space="preserve">____________________</w:t>
            </w:r>
          </w:p>
        </w:tc>
        <w:tc>
          <w:tcPr>
            <w:tcW w:type="dxa" w:w="4680"/>
            <w:tcBorders>
              <w:top w:val="none" w:color="FFFFFF" w:sz="0"/>
              <w:left w:val="none" w:color="FFFFFF" w:sz="0"/>
              <w:bottom w:val="none" w:color="FFFFFF" w:sz="0"/>
              <w:right w:val="none" w:color="FFFFFF" w:sz="0"/>
            </w:tcBorders>
          </w:tcPr>
          <w:p>
            <w:pPr>
              <w:spacing w:after="120" w:line="276"/>
            </w:pPr>
            <w:r>
              <w:rPr>
                <w:rFonts w:ascii="Arial" w:cs="Arial" w:eastAsia="Arial" w:hAnsi="Arial"/>
                <w:b/>
                <w:bCs/>
                <w:sz w:val="21"/>
                <w:szCs w:val="21"/>
              </w:rPr>
              <w:t xml:space="preserve">DEVELOPER</w:t>
            </w:r>
          </w:p>
          <w:p>
            <w:pPr>
              <w:spacing w:after="120" w:line="276"/>
            </w:pPr>
            <w:r>
              <w:rPr>
                <w:rFonts w:ascii="Arial" w:cs="Arial" w:eastAsia="Arial" w:hAnsi="Arial"/>
                <w:sz w:val="21"/>
                <w:szCs w:val="21"/>
              </w:rPr>
              <w:t xml:space="preserve"> </w:t>
            </w:r>
          </w:p>
          <w:p>
            <w:pPr>
              <w:spacing w:after="120" w:before="360"/>
            </w:pPr>
            <w:r>
              <w:rPr>
                <w:rFonts w:ascii="Arial" w:cs="Arial" w:eastAsia="Arial" w:hAnsi="Arial"/>
                <w:sz w:val="21"/>
                <w:szCs w:val="21"/>
              </w:rPr>
              <w:t xml:space="preserve">By: </w:t>
            </w:r>
            <w:r>
              <w:rPr>
                <w:rFonts w:ascii="Arial" w:cs="Arial" w:eastAsia="Arial" w:hAnsi="Arial"/>
                <w:sz w:val="21"/>
                <w:szCs w:val="21"/>
              </w:rPr>
              <w:t xml:space="preserve">__________________________</w:t>
            </w:r>
          </w:p>
          <w:p>
            <w:pPr>
              <w:spacing w:after="120" w:line="276"/>
            </w:pPr>
            <w:r>
              <w:rPr>
                <w:rFonts w:ascii="Arial" w:cs="Arial" w:eastAsia="Arial" w:hAnsi="Arial"/>
                <w:sz w:val="21"/>
                <w:szCs w:val="21"/>
              </w:rPr>
              <w:t xml:space="preserve">Name: </w:t>
            </w:r>
            <w:r>
              <w:rPr>
                <w:rFonts w:ascii="Arial" w:cs="Arial" w:eastAsia="Arial" w:hAnsi="Arial"/>
                <w:sz w:val="21"/>
                <w:szCs w:val="21"/>
              </w:rPr>
              <w:t xml:space="preserve">________________________</w:t>
            </w:r>
          </w:p>
          <w:p>
            <w:pPr>
              <w:spacing w:after="120" w:line="276"/>
            </w:pPr>
            <w:r>
              <w:rPr>
                <w:rFonts w:ascii="Arial" w:cs="Arial" w:eastAsia="Arial" w:hAnsi="Arial"/>
                <w:sz w:val="21"/>
                <w:szCs w:val="21"/>
              </w:rPr>
              <w:t xml:space="preserve">Title: Independent Contractor</w:t>
            </w:r>
          </w:p>
          <w:p>
            <w:pPr>
              <w:spacing w:after="120" w:line="276"/>
            </w:pPr>
            <w:r>
              <w:rPr>
                <w:rFonts w:ascii="Arial" w:cs="Arial" w:eastAsia="Arial" w:hAnsi="Arial"/>
                <w:sz w:val="21"/>
                <w:szCs w:val="21"/>
              </w:rPr>
              <w:t xml:space="preserve">Date: </w:t>
            </w:r>
            <w:r>
              <w:rPr>
                <w:rFonts w:ascii="Arial" w:cs="Arial" w:eastAsia="Arial" w:hAnsi="Arial"/>
                <w:sz w:val="21"/>
                <w:szCs w:val="21"/>
              </w:rPr>
              <w:t xml:space="preserve">____________________</w:t>
            </w:r>
          </w:p>
        </w:tc>
      </w:tr>
    </w:tbl>
    <w:p>
      <w:r>
        <w:br w:type="page"/>
      </w:r>
    </w:p>
    <w:p>
      <w:pPr>
        <w:spacing w:after="200"/>
      </w:pPr>
      <w:r>
        <w:rPr>
          <w:rFonts w:ascii="Arial" w:cs="Arial" w:eastAsia="Arial" w:hAnsi="Arial"/>
          <w:b/>
          <w:bCs/>
          <w:sz w:val="23"/>
          <w:szCs w:val="23"/>
        </w:rPr>
        <w:t xml:space="preserve">Exhibit A – Specification</w:t>
      </w:r>
    </w:p>
    <w:p>
      <w:pPr>
        <w:spacing w:after="120" w:line="276"/>
      </w:pPr>
      <w:r>
        <w:rPr>
          <w:rFonts w:ascii="Arial" w:cs="Arial" w:eastAsia="Arial" w:hAnsi="Arial"/>
          <w:sz w:val="21"/>
          <w:szCs w:val="21"/>
        </w:rPr>
        <w:t xml:space="preserve">The Specification is the BRIKKA functional specification, version 1.1 dated September 27, 2026, written in Korean, consisting of the following documents, together with the interactive mock-up provided by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EEEE" w:color="auto" w:val="clear"/>
            <w:tcMar>
              <w:top w:type="dxa" w:w="60"/>
              <w:left w:type="dxa" w:w="100"/>
              <w:bottom w:type="dxa" w:w="60"/>
              <w:right w:type="dxa" w:w="100"/>
            </w:tcMar>
          </w:tcPr>
          <w:p>
            <w:r>
              <w:rPr>
                <w:rFonts w:ascii="Arial" w:cs="Arial" w:eastAsia="Arial" w:hAnsi="Arial"/>
                <w:b/>
                <w:bCs/>
                <w:sz w:val="20"/>
                <w:szCs w:val="20"/>
              </w:rPr>
              <w:t xml:space="preserve">Part</w:t>
            </w:r>
          </w:p>
        </w:tc>
        <w:tc>
          <w:tcPr>
            <w:tcW w:type="dxa" w:w="7860"/>
            <w:shd w:fill="EEEEEE" w:color="auto" w:val="clear"/>
            <w:tcMar>
              <w:top w:type="dxa" w:w="60"/>
              <w:left w:type="dxa" w:w="100"/>
              <w:bottom w:type="dxa" w:w="60"/>
              <w:right w:type="dxa" w:w="100"/>
            </w:tcMar>
          </w:tcPr>
          <w:p>
            <w:r>
              <w:rPr>
                <w:rFonts w:ascii="Arial" w:cs="Arial" w:eastAsia="Arial" w:hAnsi="Arial"/>
                <w:b/>
                <w:bCs/>
                <w:sz w:val="20"/>
                <w:szCs w:val="20"/>
              </w:rPr>
              <w:t xml:space="preserve">Document</w:t>
            </w:r>
          </w:p>
        </w:tc>
      </w:tr>
      <w:tr>
        <w:tc>
          <w:tcPr>
            <w:tcW w:type="dxa" w:w="1500"/>
            <w:tcMar>
              <w:top w:type="dxa" w:w="60"/>
              <w:left w:type="dxa" w:w="100"/>
              <w:bottom w:type="dxa" w:w="60"/>
              <w:right w:type="dxa" w:w="100"/>
            </w:tcMar>
          </w:tcPr>
          <w:p>
            <w:r>
              <w:rPr>
                <w:rFonts w:ascii="Arial" w:cs="Arial" w:eastAsia="Arial" w:hAnsi="Arial"/>
                <w:b w:val="false"/>
                <w:bCs w:val="false"/>
                <w:sz w:val="20"/>
                <w:szCs w:val="20"/>
              </w:rPr>
              <w:t xml:space="preserve">00</w:t>
            </w:r>
          </w:p>
        </w:tc>
        <w:tc>
          <w:tcPr>
            <w:tcW w:type="dxa" w:w="7860"/>
            <w:tcMar>
              <w:top w:type="dxa" w:w="60"/>
              <w:left w:type="dxa" w:w="100"/>
              <w:bottom w:type="dxa" w:w="60"/>
              <w:right w:type="dxa" w:w="100"/>
            </w:tcMar>
          </w:tcPr>
          <w:p>
            <w:r>
              <w:rPr>
                <w:rFonts w:ascii="Arial" w:cs="Arial" w:eastAsia="Arial" w:hAnsi="Arial"/>
                <w:b w:val="false"/>
                <w:bCs w:val="false"/>
                <w:sz w:val="20"/>
                <w:szCs w:val="20"/>
              </w:rPr>
              <w:t xml:space="preserve">Document guide (문서안내)</w:t>
            </w:r>
          </w:p>
        </w:tc>
      </w:tr>
      <w:tr>
        <w:tc>
          <w:tcPr>
            <w:tcW w:type="dxa" w:w="1500"/>
            <w:tcMar>
              <w:top w:type="dxa" w:w="60"/>
              <w:left w:type="dxa" w:w="100"/>
              <w:bottom w:type="dxa" w:w="60"/>
              <w:right w:type="dxa" w:w="100"/>
            </w:tcMar>
          </w:tcPr>
          <w:p>
            <w:r>
              <w:rPr>
                <w:rFonts w:ascii="Arial" w:cs="Arial" w:eastAsia="Arial" w:hAnsi="Arial"/>
                <w:b w:val="false"/>
                <w:bCs w:val="false"/>
                <w:sz w:val="20"/>
                <w:szCs w:val="20"/>
              </w:rPr>
              <w:t xml:space="preserve">01</w:t>
            </w:r>
          </w:p>
        </w:tc>
        <w:tc>
          <w:tcPr>
            <w:tcW w:type="dxa" w:w="7860"/>
            <w:tcMar>
              <w:top w:type="dxa" w:w="60"/>
              <w:left w:type="dxa" w:w="100"/>
              <w:bottom w:type="dxa" w:w="60"/>
              <w:right w:type="dxa" w:w="100"/>
            </w:tcMar>
          </w:tcPr>
          <w:p>
            <w:r>
              <w:rPr>
                <w:rFonts w:ascii="Arial" w:cs="Arial" w:eastAsia="Arial" w:hAnsi="Arial"/>
                <w:b w:val="false"/>
                <w:bCs w:val="false"/>
                <w:sz w:val="20"/>
                <w:szCs w:val="20"/>
              </w:rPr>
              <w:t xml:space="preserve">System overview (시스템개요)</w:t>
            </w:r>
          </w:p>
        </w:tc>
      </w:tr>
      <w:tr>
        <w:tc>
          <w:tcPr>
            <w:tcW w:type="dxa" w:w="1500"/>
            <w:tcMar>
              <w:top w:type="dxa" w:w="60"/>
              <w:left w:type="dxa" w:w="100"/>
              <w:bottom w:type="dxa" w:w="60"/>
              <w:right w:type="dxa" w:w="100"/>
            </w:tcMar>
          </w:tcPr>
          <w:p>
            <w:r>
              <w:rPr>
                <w:rFonts w:ascii="Arial" w:cs="Arial" w:eastAsia="Arial" w:hAnsi="Arial"/>
                <w:b w:val="false"/>
                <w:bCs w:val="false"/>
                <w:sz w:val="20"/>
                <w:szCs w:val="20"/>
              </w:rPr>
              <w:t xml:space="preserve">02</w:t>
            </w:r>
          </w:p>
        </w:tc>
        <w:tc>
          <w:tcPr>
            <w:tcW w:type="dxa" w:w="7860"/>
            <w:tcMar>
              <w:top w:type="dxa" w:w="60"/>
              <w:left w:type="dxa" w:w="100"/>
              <w:bottom w:type="dxa" w:w="60"/>
              <w:right w:type="dxa" w:w="100"/>
            </w:tcMar>
          </w:tcPr>
          <w:p>
            <w:r>
              <w:rPr>
                <w:rFonts w:ascii="Arial" w:cs="Arial" w:eastAsia="Arial" w:hAnsi="Arial"/>
                <w:b w:val="false"/>
                <w:bCs w:val="false"/>
                <w:sz w:val="20"/>
                <w:szCs w:val="20"/>
              </w:rPr>
              <w:t xml:space="preserve">Domain model (도메인모델)</w:t>
            </w:r>
          </w:p>
        </w:tc>
      </w:tr>
      <w:tr>
        <w:tc>
          <w:tcPr>
            <w:tcW w:type="dxa" w:w="1500"/>
            <w:tcMar>
              <w:top w:type="dxa" w:w="60"/>
              <w:left w:type="dxa" w:w="100"/>
              <w:bottom w:type="dxa" w:w="60"/>
              <w:right w:type="dxa" w:w="100"/>
            </w:tcMar>
          </w:tcPr>
          <w:p>
            <w:r>
              <w:rPr>
                <w:rFonts w:ascii="Arial" w:cs="Arial" w:eastAsia="Arial" w:hAnsi="Arial"/>
                <w:b w:val="false"/>
                <w:bCs w:val="false"/>
                <w:sz w:val="20"/>
                <w:szCs w:val="20"/>
              </w:rPr>
              <w:t xml:space="preserve">03</w:t>
            </w:r>
          </w:p>
        </w:tc>
        <w:tc>
          <w:tcPr>
            <w:tcW w:type="dxa" w:w="7860"/>
            <w:tcMar>
              <w:top w:type="dxa" w:w="60"/>
              <w:left w:type="dxa" w:w="100"/>
              <w:bottom w:type="dxa" w:w="60"/>
              <w:right w:type="dxa" w:w="100"/>
            </w:tcMar>
          </w:tcPr>
          <w:p>
            <w:r>
              <w:rPr>
                <w:rFonts w:ascii="Arial" w:cs="Arial" w:eastAsia="Arial" w:hAnsi="Arial"/>
                <w:b w:val="false"/>
                <w:bCs w:val="false"/>
                <w:sz w:val="20"/>
                <w:szCs w:val="20"/>
              </w:rPr>
              <w:t xml:space="preserve">Global rules (전역규칙)</w:t>
            </w:r>
          </w:p>
        </w:tc>
      </w:tr>
      <w:tr>
        <w:tc>
          <w:tcPr>
            <w:tcW w:type="dxa" w:w="1500"/>
            <w:tcMar>
              <w:top w:type="dxa" w:w="60"/>
              <w:left w:type="dxa" w:w="100"/>
              <w:bottom w:type="dxa" w:w="60"/>
              <w:right w:type="dxa" w:w="100"/>
            </w:tcMar>
          </w:tcPr>
          <w:p>
            <w:r>
              <w:rPr>
                <w:rFonts w:ascii="Arial" w:cs="Arial" w:eastAsia="Arial" w:hAnsi="Arial"/>
                <w:b w:val="false"/>
                <w:bCs w:val="false"/>
                <w:sz w:val="20"/>
                <w:szCs w:val="20"/>
              </w:rPr>
              <w:t xml:space="preserve">04</w:t>
            </w:r>
          </w:p>
        </w:tc>
        <w:tc>
          <w:tcPr>
            <w:tcW w:type="dxa" w:w="7860"/>
            <w:tcMar>
              <w:top w:type="dxa" w:w="60"/>
              <w:left w:type="dxa" w:w="100"/>
              <w:bottom w:type="dxa" w:w="60"/>
              <w:right w:type="dxa" w:w="100"/>
            </w:tcMar>
          </w:tcPr>
          <w:p>
            <w:r>
              <w:rPr>
                <w:rFonts w:ascii="Arial" w:cs="Arial" w:eastAsia="Arial" w:hAnsi="Arial"/>
                <w:b w:val="false"/>
                <w:bCs w:val="false"/>
                <w:sz w:val="20"/>
                <w:szCs w:val="20"/>
              </w:rPr>
              <w:t xml:space="preserve">Calculation rules, with worked examples (계산규칙)</w:t>
            </w:r>
          </w:p>
        </w:tc>
      </w:tr>
      <w:tr>
        <w:tc>
          <w:tcPr>
            <w:tcW w:type="dxa" w:w="1500"/>
            <w:tcMar>
              <w:top w:type="dxa" w:w="60"/>
              <w:left w:type="dxa" w:w="100"/>
              <w:bottom w:type="dxa" w:w="60"/>
              <w:right w:type="dxa" w:w="100"/>
            </w:tcMar>
          </w:tcPr>
          <w:p>
            <w:r>
              <w:rPr>
                <w:rFonts w:ascii="Arial" w:cs="Arial" w:eastAsia="Arial" w:hAnsi="Arial"/>
                <w:b w:val="false"/>
                <w:bCs w:val="false"/>
                <w:sz w:val="20"/>
                <w:szCs w:val="20"/>
              </w:rPr>
              <w:t xml:space="preserve">05–09</w:t>
            </w:r>
          </w:p>
        </w:tc>
        <w:tc>
          <w:tcPr>
            <w:tcW w:type="dxa" w:w="7860"/>
            <w:tcMar>
              <w:top w:type="dxa" w:w="60"/>
              <w:left w:type="dxa" w:w="100"/>
              <w:bottom w:type="dxa" w:w="60"/>
              <w:right w:type="dxa" w:w="100"/>
            </w:tcMar>
          </w:tcPr>
          <w:p>
            <w:r>
              <w:rPr>
                <w:rFonts w:ascii="Arial" w:cs="Arial" w:eastAsia="Arial" w:hAnsi="Arial"/>
                <w:b w:val="false"/>
                <w:bCs w:val="false"/>
                <w:sz w:val="20"/>
                <w:szCs w:val="20"/>
              </w:rPr>
              <w:t xml:space="preserve">Screen specifications: buildings, leases, billing and payments, users, documents/history/reports</w:t>
            </w:r>
          </w:p>
        </w:tc>
      </w:tr>
      <w:tr>
        <w:tc>
          <w:tcPr>
            <w:tcW w:type="dxa" w:w="1500"/>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7860"/>
            <w:tcMar>
              <w:top w:type="dxa" w:w="60"/>
              <w:left w:type="dxa" w:w="100"/>
              <w:bottom w:type="dxa" w:w="60"/>
              <w:right w:type="dxa" w:w="100"/>
            </w:tcMar>
          </w:tcPr>
          <w:p>
            <w:r>
              <w:rPr>
                <w:rFonts w:ascii="Arial" w:cs="Arial" w:eastAsia="Arial" w:hAnsi="Arial"/>
                <w:b w:val="false"/>
                <w:bCs w:val="false"/>
                <w:sz w:val="20"/>
                <w:szCs w:val="20"/>
              </w:rPr>
              <w:t xml:space="preserve">Data requirements (데이터요구사항)</w:t>
            </w:r>
          </w:p>
        </w:tc>
      </w:tr>
      <w:tr>
        <w:tc>
          <w:tcPr>
            <w:tcW w:type="dxa" w:w="1500"/>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7860"/>
            <w:tcMar>
              <w:top w:type="dxa" w:w="60"/>
              <w:left w:type="dxa" w:w="100"/>
              <w:bottom w:type="dxa" w:w="60"/>
              <w:right w:type="dxa" w:w="100"/>
            </w:tcMar>
          </w:tcPr>
          <w:p>
            <w:r>
              <w:rPr>
                <w:rFonts w:ascii="Arial" w:cs="Arial" w:eastAsia="Arial" w:hAnsi="Arial"/>
                <w:b w:val="false"/>
                <w:bCs w:val="false"/>
                <w:sz w:val="20"/>
                <w:szCs w:val="20"/>
              </w:rPr>
              <w:t xml:space="preserve">Non-functional requirements (비기능요건)</w:t>
            </w:r>
          </w:p>
        </w:tc>
      </w:tr>
      <w:tr>
        <w:tc>
          <w:tcPr>
            <w:tcW w:type="dxa" w:w="1500"/>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7860"/>
            <w:tcMar>
              <w:top w:type="dxa" w:w="60"/>
              <w:left w:type="dxa" w:w="100"/>
              <w:bottom w:type="dxa" w:w="60"/>
              <w:right w:type="dxa" w:w="100"/>
            </w:tcMar>
          </w:tcPr>
          <w:p>
            <w:r>
              <w:rPr>
                <w:rFonts w:ascii="Arial" w:cs="Arial" w:eastAsia="Arial" w:hAnsi="Arial"/>
                <w:b w:val="false"/>
                <w:bCs w:val="false"/>
                <w:sz w:val="20"/>
                <w:szCs w:val="20"/>
              </w:rPr>
              <w:t xml:space="preserve">Phase 2 scope (2차범위)</w:t>
            </w:r>
          </w:p>
        </w:tc>
      </w:tr>
      <w:tr>
        <w:tc>
          <w:tcPr>
            <w:tcW w:type="dxa" w:w="1500"/>
            <w:tcMar>
              <w:top w:type="dxa" w:w="60"/>
              <w:left w:type="dxa" w:w="100"/>
              <w:bottom w:type="dxa" w:w="60"/>
              <w:right w:type="dxa" w:w="100"/>
            </w:tcMar>
          </w:tcPr>
          <w:p>
            <w:r>
              <w:rPr>
                <w:rFonts w:ascii="Arial" w:cs="Arial" w:eastAsia="Arial" w:hAnsi="Arial"/>
                <w:b w:val="false"/>
                <w:bCs w:val="false"/>
                <w:sz w:val="20"/>
                <w:szCs w:val="20"/>
              </w:rPr>
              <w:t xml:space="preserve">Appendix</w:t>
            </w:r>
          </w:p>
        </w:tc>
        <w:tc>
          <w:tcPr>
            <w:tcW w:type="dxa" w:w="7860"/>
            <w:tcMar>
              <w:top w:type="dxa" w:w="60"/>
              <w:left w:type="dxa" w:w="100"/>
              <w:bottom w:type="dxa" w:w="60"/>
              <w:right w:type="dxa" w:w="100"/>
            </w:tcMar>
          </w:tcPr>
          <w:p>
            <w:r>
              <w:rPr>
                <w:rFonts w:ascii="Arial" w:cs="Arial" w:eastAsia="Arial" w:hAnsi="Arial"/>
                <w:b w:val="false"/>
                <w:bCs w:val="false"/>
                <w:sz w:val="20"/>
                <w:szCs w:val="20"/>
              </w:rPr>
              <w:t xml:space="preserve">Screen list (화면일람표)</w:t>
            </w:r>
          </w:p>
        </w:tc>
      </w:tr>
    </w:tbl>
    <w:p>
      <w:pPr>
        <w:spacing w:before="200"/>
      </w:pPr>
      <w:r>
        <w:rPr>
          <w:rFonts w:ascii="Arial" w:cs="Arial" w:eastAsia="Arial" w:hAnsi="Arial"/>
          <w:sz w:val="21"/>
          <w:szCs w:val="21"/>
        </w:rPr>
        <w:t xml:space="preserve">The Client will provide the Developer with access to the current version of these documents. Revisions are made under Section 2.5; the most recent version approved by the Client in writing governs.</w:t>
      </w:r>
    </w:p>
    <w:p>
      <w:pPr>
        <w:spacing w:after="200" w:before="400"/>
      </w:pPr>
      <w:r>
        <w:rPr>
          <w:rFonts w:ascii="Arial" w:cs="Arial" w:eastAsia="Arial" w:hAnsi="Arial"/>
          <w:b/>
          <w:bCs/>
          <w:sz w:val="23"/>
          <w:szCs w:val="23"/>
        </w:rPr>
        <w:t xml:space="preserve">Exhibit B – Sample Monthly Invoice</w:t>
      </w:r>
    </w:p>
    <w:p>
      <w:pPr>
        <w:spacing w:after="120" w:line="276"/>
      </w:pPr>
      <w:r>
        <w:rPr>
          <w:rFonts w:ascii="Arial" w:cs="Arial" w:eastAsia="Arial" w:hAnsi="Arial"/>
          <w:sz w:val="21"/>
          <w:szCs w:val="21"/>
        </w:rPr>
        <w:t xml:space="preserve">Invoices must be sent as a PDF to the Client by email and contain at least the following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5F5F5" w:color="auto" w:val="clear"/>
            <w:tcMar>
              <w:top w:type="dxa" w:w="60"/>
              <w:left w:type="dxa" w:w="100"/>
              <w:bottom w:type="dxa" w:w="60"/>
              <w:right w:type="dxa" w:w="100"/>
            </w:tcMar>
          </w:tcPr>
          <w:p>
            <w:r>
              <w:rPr>
                <w:rFonts w:ascii="Arial" w:cs="Arial" w:eastAsia="Arial" w:hAnsi="Arial"/>
                <w:b/>
                <w:bCs/>
                <w:sz w:val="20"/>
                <w:szCs w:val="20"/>
              </w:rPr>
              <w:t xml:space="preserve">From</w:t>
            </w:r>
          </w:p>
        </w:tc>
        <w:tc>
          <w:tcPr>
            <w:tcW w:type="dxa" w:w="6760"/>
            <w:tcMar>
              <w:top w:type="dxa" w:w="60"/>
              <w:left w:type="dxa" w:w="100"/>
              <w:bottom w:type="dxa" w:w="60"/>
              <w:right w:type="dxa" w:w="100"/>
            </w:tcMar>
          </w:tcPr>
          <w:p>
            <w:r>
              <w:rPr>
                <w:rFonts w:ascii="Arial" w:cs="Arial" w:eastAsia="Arial" w:hAnsi="Arial"/>
                <w:b w:val="false"/>
                <w:bCs w:val="false"/>
                <w:sz w:val="20"/>
                <w:szCs w:val="20"/>
              </w:rPr>
              <w:t xml:space="preserve">[Developer full legal name], [Ontario address]</w:t>
            </w:r>
          </w:p>
        </w:tc>
      </w:tr>
      <w:tr>
        <w:tc>
          <w:tcPr>
            <w:tcW w:type="dxa" w:w="2600"/>
            <w:shd w:fill="F5F5F5" w:color="auto" w:val="clear"/>
            <w:tcMar>
              <w:top w:type="dxa" w:w="60"/>
              <w:left w:type="dxa" w:w="100"/>
              <w:bottom w:type="dxa" w:w="60"/>
              <w:right w:type="dxa" w:w="100"/>
            </w:tcMar>
          </w:tcPr>
          <w:p>
            <w:r>
              <w:rPr>
                <w:rFonts w:ascii="Arial" w:cs="Arial" w:eastAsia="Arial" w:hAnsi="Arial"/>
                <w:b/>
                <w:bCs/>
                <w:sz w:val="20"/>
                <w:szCs w:val="20"/>
              </w:rPr>
              <w:t xml:space="preserve">GST/HST No.</w:t>
            </w:r>
          </w:p>
        </w:tc>
        <w:tc>
          <w:tcPr>
            <w:tcW w:type="dxa" w:w="6760"/>
            <w:tcMar>
              <w:top w:type="dxa" w:w="60"/>
              <w:left w:type="dxa" w:w="100"/>
              <w:bottom w:type="dxa" w:w="60"/>
              <w:right w:type="dxa" w:w="100"/>
            </w:tcMar>
          </w:tcPr>
          <w:p>
            <w:r>
              <w:rPr>
                <w:rFonts w:ascii="Arial" w:cs="Arial" w:eastAsia="Arial" w:hAnsi="Arial"/>
                <w:b w:val="false"/>
                <w:bCs w:val="false"/>
                <w:sz w:val="20"/>
                <w:szCs w:val="20"/>
              </w:rPr>
              <w:t xml:space="preserve">[if registered]</w:t>
            </w:r>
          </w:p>
        </w:tc>
      </w:tr>
      <w:tr>
        <w:tc>
          <w:tcPr>
            <w:tcW w:type="dxa" w:w="2600"/>
            <w:shd w:fill="F5F5F5" w:color="auto" w:val="clear"/>
            <w:tcMar>
              <w:top w:type="dxa" w:w="60"/>
              <w:left w:type="dxa" w:w="100"/>
              <w:bottom w:type="dxa" w:w="60"/>
              <w:right w:type="dxa" w:w="100"/>
            </w:tcMar>
          </w:tcPr>
          <w:p>
            <w:r>
              <w:rPr>
                <w:rFonts w:ascii="Arial" w:cs="Arial" w:eastAsia="Arial" w:hAnsi="Arial"/>
                <w:b/>
                <w:bCs/>
                <w:sz w:val="20"/>
                <w:szCs w:val="20"/>
              </w:rPr>
              <w:t xml:space="preserve">Bill to</w:t>
            </w:r>
          </w:p>
        </w:tc>
        <w:tc>
          <w:tcPr>
            <w:tcW w:type="dxa" w:w="6760"/>
            <w:tcMar>
              <w:top w:type="dxa" w:w="60"/>
              <w:left w:type="dxa" w:w="100"/>
              <w:bottom w:type="dxa" w:w="60"/>
              <w:right w:type="dxa" w:w="100"/>
            </w:tcMar>
          </w:tcPr>
          <w:p>
            <w:r>
              <w:rPr>
                <w:rFonts w:ascii="Arial" w:cs="Arial" w:eastAsia="Arial" w:hAnsi="Arial"/>
                <w:b w:val="false"/>
                <w:bCs w:val="false"/>
                <w:sz w:val="20"/>
                <w:szCs w:val="20"/>
              </w:rPr>
              <w:t xml:space="preserve">Positive Thinking Press Inc., 1710 19th Street, West Vancouver, BC V7V 3X7</w:t>
            </w:r>
          </w:p>
        </w:tc>
      </w:tr>
      <w:tr>
        <w:tc>
          <w:tcPr>
            <w:tcW w:type="dxa" w:w="2600"/>
            <w:shd w:fill="F5F5F5" w:color="auto" w:val="clear"/>
            <w:tcMar>
              <w:top w:type="dxa" w:w="60"/>
              <w:left w:type="dxa" w:w="100"/>
              <w:bottom w:type="dxa" w:w="60"/>
              <w:right w:type="dxa" w:w="100"/>
            </w:tcMar>
          </w:tcPr>
          <w:p>
            <w:r>
              <w:rPr>
                <w:rFonts w:ascii="Arial" w:cs="Arial" w:eastAsia="Arial" w:hAnsi="Arial"/>
                <w:b/>
                <w:bCs/>
                <w:sz w:val="20"/>
                <w:szCs w:val="20"/>
              </w:rPr>
              <w:t xml:space="preserve">Invoice No. / Date</w:t>
            </w:r>
          </w:p>
        </w:tc>
        <w:tc>
          <w:tcPr>
            <w:tcW w:type="dxa" w:w="6760"/>
            <w:tcMar>
              <w:top w:type="dxa" w:w="60"/>
              <w:left w:type="dxa" w:w="100"/>
              <w:bottom w:type="dxa" w:w="60"/>
              <w:right w:type="dxa" w:w="100"/>
            </w:tcMar>
          </w:tcPr>
          <w:p>
            <w:r>
              <w:rPr>
                <w:rFonts w:ascii="Arial" w:cs="Arial" w:eastAsia="Arial" w:hAnsi="Arial"/>
                <w:b w:val="false"/>
                <w:bCs w:val="false"/>
                <w:sz w:val="20"/>
                <w:szCs w:val="20"/>
              </w:rPr>
              <w:t xml:space="preserve">[e.g. 2026-10] / [date]</w:t>
            </w:r>
          </w:p>
        </w:tc>
      </w:tr>
      <w:tr>
        <w:tc>
          <w:tcPr>
            <w:tcW w:type="dxa" w:w="2600"/>
            <w:shd w:fill="F5F5F5" w:color="auto" w:val="clear"/>
            <w:tcMar>
              <w:top w:type="dxa" w:w="60"/>
              <w:left w:type="dxa" w:w="100"/>
              <w:bottom w:type="dxa" w:w="60"/>
              <w:right w:type="dxa" w:w="100"/>
            </w:tcMar>
          </w:tcPr>
          <w:p>
            <w:r>
              <w:rPr>
                <w:rFonts w:ascii="Arial" w:cs="Arial" w:eastAsia="Arial" w:hAnsi="Arial"/>
                <w:b/>
                <w:bCs/>
                <w:sz w:val="20"/>
                <w:szCs w:val="20"/>
              </w:rPr>
              <w:t xml:space="preserve">Billing period</w:t>
            </w:r>
          </w:p>
        </w:tc>
        <w:tc>
          <w:tcPr>
            <w:tcW w:type="dxa" w:w="6760"/>
            <w:tcMar>
              <w:top w:type="dxa" w:w="60"/>
              <w:left w:type="dxa" w:w="100"/>
              <w:bottom w:type="dxa" w:w="60"/>
              <w:right w:type="dxa" w:w="100"/>
            </w:tcMar>
          </w:tcPr>
          <w:p>
            <w:r>
              <w:rPr>
                <w:rFonts w:ascii="Arial" w:cs="Arial" w:eastAsia="Arial" w:hAnsi="Arial"/>
                <w:b w:val="false"/>
                <w:bCs w:val="false"/>
                <w:sz w:val="20"/>
                <w:szCs w:val="20"/>
              </w:rPr>
              <w:t xml:space="preserve">[e.g. October 1–31, 2026]</w:t>
            </w:r>
          </w:p>
        </w:tc>
      </w:tr>
      <w:tr>
        <w:tc>
          <w:tcPr>
            <w:tcW w:type="dxa" w:w="2600"/>
            <w:shd w:fill="F5F5F5" w:color="auto" w:val="clear"/>
            <w:tcMar>
              <w:top w:type="dxa" w:w="60"/>
              <w:left w:type="dxa" w:w="100"/>
              <w:bottom w:type="dxa" w:w="60"/>
              <w:right w:type="dxa" w:w="100"/>
            </w:tcMar>
          </w:tcPr>
          <w:p>
            <w:r>
              <w:rPr>
                <w:rFonts w:ascii="Arial" w:cs="Arial" w:eastAsia="Arial" w:hAnsi="Arial"/>
                <w:b/>
                <w:bCs/>
                <w:sz w:val="20"/>
                <w:szCs w:val="20"/>
              </w:rPr>
              <w:t xml:space="preserve">Work performed</w:t>
            </w:r>
          </w:p>
        </w:tc>
        <w:tc>
          <w:tcPr>
            <w:tcW w:type="dxa" w:w="6760"/>
            <w:tcMar>
              <w:top w:type="dxa" w:w="60"/>
              <w:left w:type="dxa" w:w="100"/>
              <w:bottom w:type="dxa" w:w="60"/>
              <w:right w:type="dxa" w:w="100"/>
            </w:tcMar>
          </w:tcPr>
          <w:p>
            <w:r>
              <w:rPr>
                <w:rFonts w:ascii="Arial" w:cs="Arial" w:eastAsia="Arial" w:hAnsi="Arial"/>
                <w:b w:val="false"/>
                <w:bCs w:val="false"/>
                <w:sz w:val="20"/>
                <w:szCs w:val="20"/>
              </w:rPr>
              <w:t xml:space="preserve">[date] – [task description] – [hours]  (one line per task)</w:t>
            </w:r>
          </w:p>
        </w:tc>
      </w:tr>
      <w:tr>
        <w:tc>
          <w:tcPr>
            <w:tcW w:type="dxa" w:w="2600"/>
            <w:shd w:fill="F5F5F5" w:color="auto" w:val="clear"/>
            <w:tcMar>
              <w:top w:type="dxa" w:w="60"/>
              <w:left w:type="dxa" w:w="100"/>
              <w:bottom w:type="dxa" w:w="60"/>
              <w:right w:type="dxa" w:w="100"/>
            </w:tcMar>
          </w:tcPr>
          <w:p>
            <w:r>
              <w:rPr>
                <w:rFonts w:ascii="Arial" w:cs="Arial" w:eastAsia="Arial" w:hAnsi="Arial"/>
                <w:b/>
                <w:bCs/>
                <w:sz w:val="20"/>
                <w:szCs w:val="20"/>
              </w:rPr>
              <w:t xml:space="preserve">Total hours × rate</w:t>
            </w:r>
          </w:p>
        </w:tc>
        <w:tc>
          <w:tcPr>
            <w:tcW w:type="dxa" w:w="6760"/>
            <w:tcMar>
              <w:top w:type="dxa" w:w="60"/>
              <w:left w:type="dxa" w:w="100"/>
              <w:bottom w:type="dxa" w:w="60"/>
              <w:right w:type="dxa" w:w="100"/>
            </w:tcMar>
          </w:tcPr>
          <w:p>
            <w:r>
              <w:rPr>
                <w:rFonts w:ascii="Arial" w:cs="Arial" w:eastAsia="Arial" w:hAnsi="Arial"/>
                <w:b w:val="false"/>
                <w:bCs w:val="false"/>
                <w:sz w:val="20"/>
                <w:szCs w:val="20"/>
              </w:rPr>
              <w:t xml:space="preserve">[hours] × CAD $80.00</w:t>
            </w:r>
          </w:p>
        </w:tc>
      </w:tr>
      <w:tr>
        <w:tc>
          <w:tcPr>
            <w:tcW w:type="dxa" w:w="2600"/>
            <w:shd w:fill="F5F5F5" w:color="auto" w:val="clear"/>
            <w:tcMar>
              <w:top w:type="dxa" w:w="60"/>
              <w:left w:type="dxa" w:w="100"/>
              <w:bottom w:type="dxa" w:w="60"/>
              <w:right w:type="dxa" w:w="100"/>
            </w:tcMar>
          </w:tcPr>
          <w:p>
            <w:r>
              <w:rPr>
                <w:rFonts w:ascii="Arial" w:cs="Arial" w:eastAsia="Arial" w:hAnsi="Arial"/>
                <w:b/>
                <w:bCs/>
                <w:sz w:val="20"/>
                <w:szCs w:val="20"/>
              </w:rPr>
              <w:t xml:space="preserve">GST/HST</w:t>
            </w:r>
          </w:p>
        </w:tc>
        <w:tc>
          <w:tcPr>
            <w:tcW w:type="dxa" w:w="6760"/>
            <w:tcMar>
              <w:top w:type="dxa" w:w="60"/>
              <w:left w:type="dxa" w:w="100"/>
              <w:bottom w:type="dxa" w:w="60"/>
              <w:right w:type="dxa" w:w="100"/>
            </w:tcMar>
          </w:tcPr>
          <w:p>
            <w:r>
              <w:rPr>
                <w:rFonts w:ascii="Arial" w:cs="Arial" w:eastAsia="Arial" w:hAnsi="Arial"/>
                <w:b w:val="false"/>
                <w:bCs w:val="false"/>
                <w:sz w:val="20"/>
                <w:szCs w:val="20"/>
              </w:rPr>
              <w:t xml:space="preserve">[if applicable]</w:t>
            </w:r>
          </w:p>
        </w:tc>
      </w:tr>
      <w:tr>
        <w:tc>
          <w:tcPr>
            <w:tcW w:type="dxa" w:w="2600"/>
            <w:shd w:fill="F5F5F5" w:color="auto" w:val="clear"/>
            <w:tcMar>
              <w:top w:type="dxa" w:w="60"/>
              <w:left w:type="dxa" w:w="100"/>
              <w:bottom w:type="dxa" w:w="60"/>
              <w:right w:type="dxa" w:w="100"/>
            </w:tcMar>
          </w:tcPr>
          <w:p>
            <w:r>
              <w:rPr>
                <w:rFonts w:ascii="Arial" w:cs="Arial" w:eastAsia="Arial" w:hAnsi="Arial"/>
                <w:b/>
                <w:bCs/>
                <w:sz w:val="20"/>
                <w:szCs w:val="20"/>
              </w:rPr>
              <w:t xml:space="preserve">Total due (CAD)</w:t>
            </w:r>
          </w:p>
        </w:tc>
        <w:tc>
          <w:tcPr>
            <w:tcW w:type="dxa" w:w="6760"/>
            <w:tcMar>
              <w:top w:type="dxa" w:w="60"/>
              <w:left w:type="dxa" w:w="100"/>
              <w:bottom w:type="dxa" w:w="60"/>
              <w:right w:type="dxa" w:w="100"/>
            </w:tcMar>
          </w:tcPr>
          <w:p>
            <w:r>
              <w:rPr>
                <w:rFonts w:ascii="Arial" w:cs="Arial" w:eastAsia="Arial" w:hAnsi="Arial"/>
                <w:b w:val="false"/>
                <w:bCs w:val="false"/>
                <w:sz w:val="20"/>
                <w:szCs w:val="20"/>
              </w:rPr>
              <w:t xml:space="preserve">[amount]</w:t>
            </w:r>
          </w:p>
        </w:tc>
      </w:tr>
      <w:tr>
        <w:tc>
          <w:tcPr>
            <w:tcW w:type="dxa" w:w="2600"/>
            <w:shd w:fill="F5F5F5" w:color="auto" w:val="clear"/>
            <w:tcMar>
              <w:top w:type="dxa" w:w="60"/>
              <w:left w:type="dxa" w:w="100"/>
              <w:bottom w:type="dxa" w:w="60"/>
              <w:right w:type="dxa" w:w="100"/>
            </w:tcMar>
          </w:tcPr>
          <w:p>
            <w:r>
              <w:rPr>
                <w:rFonts w:ascii="Arial" w:cs="Arial" w:eastAsia="Arial" w:hAnsi="Arial"/>
                <w:b/>
                <w:bCs/>
                <w:sz w:val="20"/>
                <w:szCs w:val="20"/>
              </w:rPr>
              <w:t xml:space="preserve">Payment</w:t>
            </w:r>
          </w:p>
        </w:tc>
        <w:tc>
          <w:tcPr>
            <w:tcW w:type="dxa" w:w="6760"/>
            <w:tcMar>
              <w:top w:type="dxa" w:w="60"/>
              <w:left w:type="dxa" w:w="100"/>
              <w:bottom w:type="dxa" w:w="60"/>
              <w:right w:type="dxa" w:w="100"/>
            </w:tcMar>
          </w:tcPr>
          <w:p>
            <w:r>
              <w:rPr>
                <w:rFonts w:ascii="Arial" w:cs="Arial" w:eastAsia="Arial" w:hAnsi="Arial"/>
                <w:b w:val="false"/>
                <w:bCs w:val="false"/>
                <w:sz w:val="20"/>
                <w:szCs w:val="20"/>
              </w:rPr>
              <w:t xml:space="preserve">Interac e-Transfer to [email] or bank transfer</w:t>
            </w:r>
          </w:p>
        </w:tc>
      </w:tr>
    </w:tbl>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DRAFT – BRIKKA Phase 1 Contractor Agreement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rFonts w:ascii="Arial" w:cs="Arial" w:eastAsia="Arial" w:hAnsi="Arial"/>
        <w:sz w:val="21"/>
        <w:szCs w:val="21"/>
      </w:rPr>
    </w:lvl>
  </w:abstractNum>
  <w:abstractNum w:abstractNumId="3" w15:restartNumberingAfterBreak="0">
    <w:multiLevelType w:val="hybridMultilevel"/>
    <w:lvl w:ilvl="0" w:tentative="1">
      <w:start w:val="1"/>
      <w:numFmt w:val="lowerLetter"/>
      <w:lvlText w:val="(%1)"/>
      <w:lvlJc w:val="left"/>
      <w:pPr>
        <w:ind w:left="720" w:hanging="360"/>
      </w:pPr>
      <w:rPr>
        <w:rFonts w:ascii="Arial" w:cs="Arial" w:eastAsia="Arial" w:hAnsi="Arial"/>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Contractor Software Development Agreement – BRIKKA Phase 1</dc:title>
  <dc:creator>Positive Thinking Press Inc.</dc:creator>
  <cp:lastModifiedBy>Un-named</cp:lastModifiedBy>
  <cp:revision>1</cp:revision>
  <dcterms:created xsi:type="dcterms:W3CDTF">2026-10-01T20:35:18.910Z</dcterms:created>
  <dcterms:modified xsi:type="dcterms:W3CDTF">2026-10-01T20:35:18.914Z</dcterms:modified>
</cp:coreProperties>
</file>

<file path=docProps/custom.xml><?xml version="1.0" encoding="utf-8"?>
<Properties xmlns="http://schemas.openxmlformats.org/officeDocument/2006/custom-properties" xmlns:vt="http://schemas.openxmlformats.org/officeDocument/2006/docPropsVTypes"/>
</file>