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executivo — Engenharia econômica, monetização híbrida, projeções e valuation (IMPACTO v0.30.0)</w:t>
      </w:r>
    </w:p>
    <w:p>
      <w:pPr>
        <w:ind w:left="454"/>
      </w:pPr>
      <w:r>
        <w:rPr>
          <w:b/>
          <w:color w:val="5A3200"/>
        </w:rPr>
        <w:t>Modo desta execução: ANÁLISE E PROPOSTA.</w:t>
      </w:r>
      <w:r>
        <w:rPr>
          <w:color w:val="5A3200"/>
        </w:rPr>
        <w:t xml:space="preserve"> Nada do produto foi alterado: regra, catálogo, </w:t>
      </w:r>
      <w:r>
        <w:rPr>
          <w:rFonts w:ascii="Consolas" w:hAnsi="Consolas"/>
          <w:color w:val="5A3200"/>
        </w:rPr>
        <w:t>config/plans.json</w:t>
      </w:r>
      <w:r>
        <w:rPr>
          <w:color w:val="5A3200"/>
        </w:rPr>
        <w:t xml:space="preserve">, banco e contratos continuam exatamente como na v0.30.0. Todo número abaixo é SIMULAÇÃO sobre premissas declaradas (planilha </w:t>
      </w:r>
      <w:r>
        <w:rPr>
          <w:rFonts w:ascii="Consolas" w:hAnsi="Consolas"/>
          <w:color w:val="5A3200"/>
        </w:rPr>
        <w:t>IMPACTO_MODELO_120M.xlsx</w:t>
      </w:r>
      <w:r>
        <w:rPr>
          <w:color w:val="5A3200"/>
        </w:rPr>
        <w:t xml:space="preserve">, fórmulas abertas; motor em </w:t>
      </w:r>
      <w:r>
        <w:rPr>
          <w:rFonts w:ascii="Consolas" w:hAnsi="Consolas"/>
          <w:color w:val="5A3200"/>
        </w:rPr>
        <w:t>scripts/analysis/economic_model_120m.py</w:t>
      </w:r>
      <w:r>
        <w:rPr>
          <w:color w:val="5A3200"/>
        </w:rPr>
        <w:t xml:space="preserve">; a planilha recalculada no LibreOffice reproduz o motor — diferença máxima de arredondamento R$ 0,03). Natureza de cada premissa: </w:t>
      </w:r>
      <w:r>
        <w:rPr>
          <w:b/>
          <w:color w:val="5A3200"/>
        </w:rPr>
        <w:t>FATO</w:t>
      </w:r>
      <w:r>
        <w:rPr>
          <w:color w:val="5A3200"/>
        </w:rPr>
        <w:t xml:space="preserve"> (repositório) · </w:t>
      </w:r>
      <w:r>
        <w:rPr>
          <w:b/>
          <w:color w:val="5A3200"/>
        </w:rPr>
        <w:t>HIPÓTESE DO PROPRIETÁRIO</w:t>
      </w:r>
      <w:r>
        <w:rPr>
          <w:color w:val="5A3200"/>
        </w:rPr>
        <w:t xml:space="preserve"> (já declarada no repositório) · </w:t>
      </w:r>
      <w:r>
        <w:rPr>
          <w:b/>
          <w:color w:val="5A3200"/>
        </w:rPr>
        <w:t>PREMISSA DE MERCADO</w:t>
      </w:r>
      <w:r>
        <w:rPr>
          <w:color w:val="5A3200"/>
        </w:rPr>
        <w:t xml:space="preserve"> (não verificada, editável) · </w:t>
      </w:r>
      <w:r>
        <w:rPr>
          <w:b/>
          <w:color w:val="5A3200"/>
        </w:rPr>
        <w:t>DERIVADO</w:t>
      </w:r>
      <w:r>
        <w:rPr>
          <w:color w:val="5A3200"/>
        </w:rPr>
        <w:t xml:space="preserve"> (cálculo). Receita real hoje: </w:t>
      </w:r>
      <w:r>
        <w:rPr>
          <w:b/>
          <w:color w:val="5A3200"/>
        </w:rPr>
        <w:t>R$ 0,00</w:t>
      </w:r>
      <w:r>
        <w:rPr>
          <w:color w:val="5A3200"/>
        </w:rPr>
        <w:t>.</w:t>
      </w:r>
    </w:p>
    <w:p>
      <w:pPr>
        <w:pStyle w:val="Heading2"/>
      </w:pPr>
      <w:r>
        <w:t>1. Diagnóstico econômico da base (FATOS do repositório, v0.30.0)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Estado real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Onde está provado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Taxa de serviço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350 bps (3,50 %)</w:t>
            </w:r>
            <w:r>
              <w:rPr>
                <w:sz w:val="15"/>
              </w:rPr>
              <w:t xml:space="preserve"> sobre operação financiada, congelada no acordo; regra </w:t>
            </w:r>
            <w:r>
              <w:rPr>
                <w:rFonts w:ascii="Consolas" w:hAnsi="Consolas"/>
                <w:sz w:val="15"/>
              </w:rPr>
              <w:t>contract.platform_service_fee</w:t>
            </w:r>
            <w:r>
              <w:rPr>
                <w:sz w:val="15"/>
              </w:rPr>
              <w:t xml:space="preserve"> </w:t>
            </w:r>
            <w:r>
              <w:rPr>
                <w:b/>
                <w:sz w:val="15"/>
              </w:rPr>
              <w:t>INATIVA</w:t>
            </w:r>
            <w:r>
              <w:rPr>
                <w:sz w:val="15"/>
              </w:rPr>
              <w:t xml:space="preserve"> (</w:t>
            </w:r>
            <w:r>
              <w:rPr>
                <w:rFonts w:ascii="Consolas" w:hAnsi="Consolas"/>
                <w:sz w:val="15"/>
              </w:rPr>
              <w:t>review_required</w:t>
            </w:r>
            <w:r>
              <w:rPr>
                <w:sz w:val="15"/>
              </w:rPr>
              <w:t>, carta amarela) — nada é devido nem cobrado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monetization_rules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config/economic_model.json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test_v0270_financial_model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test_v0150_upgrade</w:t>
            </w:r>
            <w:r>
              <w:rPr>
                <w:sz w:val="15"/>
              </w:rPr>
              <w:t xml:space="preserve"> (11 regras, 0 ativas)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Participação de autoria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150 bps (1,50 %)</w:t>
            </w:r>
            <w:r>
              <w:rPr>
                <w:sz w:val="15"/>
              </w:rPr>
              <w:t xml:space="preserve">, do proponente elegível, </w:t>
            </w:r>
            <w:r>
              <w:rPr>
                <w:b/>
                <w:sz w:val="15"/>
              </w:rPr>
              <w:t>não é receita da plataforma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 xml:space="preserve">ADR-337, </w:t>
            </w:r>
            <w:r>
              <w:rPr>
                <w:rFonts w:ascii="Consolas" w:hAnsi="Consolas"/>
                <w:sz w:val="15"/>
              </w:rPr>
              <w:t>test_v0270_economy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Reconhecimento da receita transacional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 xml:space="preserve">só na </w:t>
            </w:r>
            <w:r>
              <w:rPr>
                <w:b/>
                <w:sz w:val="15"/>
              </w:rPr>
              <w:t>quitação</w:t>
            </w:r>
            <w:r>
              <w:rPr>
                <w:sz w:val="15"/>
              </w:rPr>
              <w:t xml:space="preserve"> (entrega aceita + repasses confirmados por quem recebe); </w:t>
            </w:r>
            <w:r>
              <w:rPr>
                <w:rFonts w:ascii="Consolas" w:hAnsi="Consolas"/>
                <w:sz w:val="15"/>
              </w:rPr>
              <w:t>allocation_payouts.state = 'awaiting_rule'</w:t>
            </w:r>
            <w:r>
              <w:rPr>
                <w:sz w:val="15"/>
              </w:rPr>
              <w:t xml:space="preserve"> enquanto a regra estiver inativa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MILESTONE_FUNDING_STATES_v0300.md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test_v0270_economy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GMV ≠ receita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o valor financiado vai do financiador ao projeto; a plataforma não custodia (nenhuma tabela de saldo/escrow: teste de estrutura)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 xml:space="preserve">ADR-284, </w:t>
            </w:r>
            <w:r>
              <w:rPr>
                <w:rFonts w:ascii="Consolas" w:hAnsi="Consolas"/>
                <w:sz w:val="15"/>
              </w:rPr>
              <w:t>test_the_platform_has_no_table_that_holds_third_party_money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Assinaturas recorrentes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não existem no código</w:t>
            </w:r>
            <w:r>
              <w:rPr>
                <w:sz w:val="15"/>
              </w:rPr>
              <w:t xml:space="preserve">: tabelas derrubadas na 0067; </w:t>
            </w:r>
            <w:r>
              <w:rPr>
                <w:rFonts w:ascii="Consolas" w:hAnsi="Consolas"/>
                <w:sz w:val="15"/>
              </w:rPr>
              <w:t>GET /v1/plans</w:t>
            </w:r>
            <w:r>
              <w:rPr>
                <w:sz w:val="15"/>
              </w:rPr>
              <w:t xml:space="preserve"> não publica preço recorrente; </w:t>
            </w:r>
            <w:r>
              <w:rPr>
                <w:rFonts w:ascii="Consolas" w:hAnsi="Consolas"/>
                <w:sz w:val="15"/>
              </w:rPr>
              <w:t>config/plans.json</w:t>
            </w:r>
            <w:r>
              <w:rPr>
                <w:sz w:val="15"/>
              </w:rPr>
              <w:t xml:space="preserve"> = pacotes de capacidades sem preço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 xml:space="preserve">ADR-341, </w:t>
            </w:r>
            <w:r>
              <w:rPr>
                <w:rFonts w:ascii="Consolas" w:hAnsi="Consolas"/>
                <w:sz w:val="15"/>
              </w:rPr>
              <w:t>test_v0270_no_subscription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Regras recusadas no catálogo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saas.institutional.funder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b2g.territorial_governance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data.territorial_intelligence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marketplace.take_rate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success_fee.funding</w:t>
            </w:r>
            <w:r>
              <w:rPr>
                <w:sz w:val="15"/>
              </w:rPr>
              <w:t xml:space="preserve"> — </w:t>
            </w:r>
            <w:r>
              <w:rPr>
                <w:b/>
                <w:sz w:val="15"/>
              </w:rPr>
              <w:t>refused</w:t>
            </w:r>
            <w:r>
              <w:rPr>
                <w:sz w:val="15"/>
              </w:rPr>
              <w:t xml:space="preserve"> com carta vermelha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MONETIZATION_LEGAL_MATRIX.md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Regras em revisão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contract.platform_service_fee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implementation.setup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enterprise.esg_portfolio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premium.readiness_analysis</w:t>
            </w:r>
            <w:r>
              <w:rPr>
                <w:sz w:val="15"/>
              </w:rPr>
              <w:t xml:space="preserve"> (R$ 29 hipótese), </w:t>
            </w:r>
            <w:r>
              <w:rPr>
                <w:rFonts w:ascii="Consolas" w:hAnsi="Consolas"/>
                <w:sz w:val="15"/>
              </w:rPr>
              <w:t>premium.document_preparation</w:t>
            </w:r>
            <w:r>
              <w:rPr>
                <w:sz w:val="15"/>
              </w:rPr>
              <w:t xml:space="preserve"> (R$ 79 hipótese), </w:t>
            </w:r>
            <w:r>
              <w:rPr>
                <w:rFonts w:ascii="Consolas" w:hAnsi="Consolas"/>
                <w:sz w:val="15"/>
              </w:rPr>
              <w:t>ai.credits_prepaid</w:t>
            </w:r>
            <w:r>
              <w:rPr>
                <w:sz w:val="15"/>
              </w:rPr>
              <w:t xml:space="preserve"> (pacotes R$ 10 / 45 / 160, </w:t>
            </w:r>
            <w:r>
              <w:rPr>
                <w:rFonts w:ascii="Consolas" w:hAnsi="Consolas"/>
                <w:sz w:val="15"/>
              </w:rPr>
              <w:t>hypothesis</w:t>
            </w:r>
            <w:r>
              <w:rPr>
                <w:sz w:val="15"/>
              </w:rPr>
              <w:t>; modo piloto)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 xml:space="preserve">catálogo; </w:t>
            </w:r>
            <w:r>
              <w:rPr>
                <w:rFonts w:ascii="Consolas" w:hAnsi="Consolas"/>
                <w:sz w:val="15"/>
              </w:rPr>
              <w:t>ai_credit_packs</w:t>
            </w:r>
            <w:r>
              <w:rPr>
                <w:sz w:val="15"/>
              </w:rPr>
              <w:t>; ADR-349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Gateway de pagamento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nenhum; webhook responde 404 sem segredo; nenhuma cobrança real possível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EXTERNAL_INTEGRATIONS.md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test_v0280_ai_usage_control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Custos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não medidos</w:t>
            </w:r>
            <w:r>
              <w:rPr>
                <w:sz w:val="15"/>
              </w:rPr>
              <w:t xml:space="preserve">: sem folha, sem fatura de nuvem/provedor; </w:t>
            </w:r>
            <w:r>
              <w:rPr>
                <w:rFonts w:ascii="Consolas" w:hAnsi="Consolas"/>
                <w:sz w:val="15"/>
              </w:rPr>
              <w:t>config/ai_economics.json</w:t>
            </w:r>
            <w:r>
              <w:rPr>
                <w:sz w:val="15"/>
              </w:rPr>
              <w:t xml:space="preserve"> traz hipóteses (PIX 1 %, tributos 8,65 %, suporte R$ 0,30/usuário/mês, infra R$ 0,02/operação local)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UNIT_ECONOMICS.md</w:t>
            </w:r>
            <w:r>
              <w:rPr>
                <w:sz w:val="15"/>
              </w:rPr>
              <w:t xml:space="preserve"> (lado do custo </w:t>
            </w:r>
            <w:r>
              <w:rPr>
                <w:rFonts w:ascii="Consolas" w:hAnsi="Consolas"/>
                <w:sz w:val="15"/>
              </w:rPr>
              <w:t>[PENDENTE]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Invariantes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plano não altera match/elegibilidade/ranking; rebaixar não apaga dado; pagamento não compra posição</w:t>
            </w:r>
          </w:p>
        </w:tc>
        <w:tc>
          <w:tcPr>
            <w:tcW w:type="dxa" w:w="5008"/>
          </w:tcPr>
          <w:p>
            <w:r>
              <w:rPr>
                <w:rFonts w:ascii="Consolas" w:hAnsi="Consolas"/>
                <w:sz w:val="15"/>
              </w:rPr>
              <w:t>config/plans.json</w:t>
            </w:r>
            <w:r>
              <w:rPr>
                <w:sz w:val="15"/>
              </w:rPr>
              <w:t xml:space="preserve"> invariants, </w:t>
            </w:r>
            <w:r>
              <w:rPr>
                <w:rFonts w:ascii="Consolas" w:hAnsi="Consolas"/>
                <w:sz w:val="15"/>
              </w:rPr>
              <w:t>test_v0150_invariants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test_v0270_no_subscription</w:t>
            </w:r>
          </w:p>
        </w:tc>
      </w:tr>
    </w:tbl>
    <w:p/>
    <w:p>
      <w:r>
        <w:rPr>
          <w:b/>
        </w:rPr>
        <w:t>Conflito encontrado (documento × decisão):</w:t>
      </w:r>
      <w:r>
        <w:t xml:space="preserve"> </w:t>
      </w:r>
      <w:r>
        <w:rPr>
          <w:rFonts w:ascii="Consolas" w:hAnsi="Consolas"/>
        </w:rPr>
        <w:t>UNIT_ECONOMICS.md</w:t>
      </w:r>
      <w:r>
        <w:t xml:space="preserve"> (v0.21.0) ainda descreve planos mensais (PRO R$ 299, BUSINESS R$ 799…). Está </w:t>
      </w:r>
      <w:r>
        <w:rPr>
          <w:b/>
        </w:rPr>
        <w:t>superado</w:t>
      </w:r>
      <w:r>
        <w:t xml:space="preserve"> pela ADR-341 e pelo código (0067); </w:t>
      </w:r>
      <w:r>
        <w:rPr>
          <w:b/>
        </w:rPr>
        <w:t>prevalece o código + ADR</w:t>
      </w:r>
      <w:r>
        <w:t>. Recomendação: marcar o documento como SUPERADO (rodada de limpeza).</w:t>
      </w:r>
    </w:p>
    <w:p>
      <w:r>
        <w:rPr>
          <w:b/>
        </w:rPr>
        <w:t>Conflito entre o pedido e a base:</w:t>
      </w:r>
      <w:r>
        <w:t xml:space="preserve"> a "Camada 1 — SaaS institucional / receita previsível" do pedido é, no repositório, a regra </w:t>
      </w:r>
      <w:r>
        <w:rPr>
          <w:rFonts w:ascii="Consolas" w:hAnsi="Consolas"/>
        </w:rPr>
        <w:t>saas.institutional.funder</w:t>
      </w:r>
      <w:r>
        <w:t xml:space="preserve"> </w:t>
      </w:r>
      <w:r>
        <w:rPr>
          <w:b/>
        </w:rPr>
        <w:t>recusada</w:t>
      </w:r>
      <w:r>
        <w:t xml:space="preserve"> e a ADR-341 ("não existe mais assinatura"). O modelo abaixo avalia essa camada </w:t>
      </w:r>
      <w:r>
        <w:rPr>
          <w:b/>
        </w:rPr>
        <w:t>como proposta</w:t>
      </w:r>
      <w:r>
        <w:t xml:space="preserve"> (desenho HÍBRIDO) sem confundi-la com o modelo vigente (desenho ATUAL). Ativar exige decisão do proprietário, ADR nova e parecer.</w:t>
      </w:r>
    </w:p>
    <w:p>
      <w:pPr>
        <w:pStyle w:val="Heading2"/>
      </w:pPr>
      <w:r>
        <w:t>2. Dois desenhos avaliados, sem mistura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</w:tcPr>
          <w:p>
            <w:r>
              <w:rPr>
                <w:b/>
                <w:sz w:val="15"/>
              </w:rPr>
              <w:t>Desenho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Fontes de receita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Base no repositório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O que muda</w:t>
            </w:r>
          </w:p>
        </w:tc>
      </w:tr>
      <w:tr>
        <w:tc>
          <w:tcPr>
            <w:tcW w:type="dxa" w:w="3756"/>
          </w:tcPr>
          <w:p>
            <w:r>
              <w:rPr>
                <w:b/>
                <w:sz w:val="15"/>
              </w:rPr>
              <w:t>ATUAL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taxa 3,5 % sobre operações quitadas (quando a regra for ativada — premissa de mês de ativação) + serviços/inteligência avulsos (R$ 29/79, créditos)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catálogo vigente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nada — só precisa de parecer para ativar a taxa</w:t>
            </w:r>
          </w:p>
        </w:tc>
      </w:tr>
      <w:tr>
        <w:tc>
          <w:tcPr>
            <w:tcW w:type="dxa" w:w="3756"/>
          </w:tcPr>
          <w:p>
            <w:r>
              <w:rPr>
                <w:b/>
                <w:sz w:val="15"/>
              </w:rPr>
              <w:t>HÍBRIDO</w:t>
            </w:r>
            <w:r>
              <w:rPr>
                <w:sz w:val="15"/>
              </w:rPr>
              <w:t xml:space="preserve"> (proposta)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 xml:space="preserve">ATUAL + contratos institucionais </w:t>
            </w:r>
            <w:r>
              <w:rPr>
                <w:b/>
                <w:sz w:val="15"/>
              </w:rPr>
              <w:t>anuais</w:t>
            </w:r>
            <w:r>
              <w:rPr>
                <w:sz w:val="15"/>
              </w:rPr>
              <w:t xml:space="preserve"> de software (governança, portfólio, auditoria, relatórios) com implantação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contraria ADR-341</w:t>
            </w:r>
            <w:r>
              <w:rPr>
                <w:sz w:val="15"/>
              </w:rPr>
              <w:t>; regra recusada; faixas-hipótese do catálogo (R$ 2–10 mil/mês funder; R$ 3–15 mil ESG; R$ 3–50 mil gov)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ADR nova, catálogo, cartas, contrato-modelo, B2G só por licitação/dispensa</w:t>
            </w:r>
          </w:p>
        </w:tc>
      </w:tr>
    </w:tbl>
    <w:p/>
    <w:p>
      <w:r>
        <w:t xml:space="preserve">Diferença de natureza que o pedido exige preservar: contrato institucional </w:t>
      </w:r>
      <w:r>
        <w:rPr>
          <w:b/>
        </w:rPr>
        <w:t>não é paywall</w:t>
      </w:r>
      <w:r>
        <w:t xml:space="preserve"> — o núcleo continua gratuito e nenhum contrato altera match, elegibilidade ou ranking (invariantes testados). O que se vende é operação de portfólio/governança para quem recebe valor econômico claro (financiador, governo, grande organização), nunca acesso para OSC.</w:t>
      </w:r>
    </w:p>
    <w:p>
      <w:pPr>
        <w:pStyle w:val="Heading2"/>
      </w:pPr>
      <w:r>
        <w:t>3. Matriz de monetização por fonte (FASE 2) — cada linha diz o que é fato e o que é hipótese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5"/>
              </w:rPr>
              <w:t>Fonte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Pagador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Problema resolvido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Evento de cobrança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Preço proposto (HIPÓTESE salvo nota)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Frequência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Custo de entrega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Margem de contribuição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Riscos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Impacto em OSC/beneficiários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A. Contrato institucional (HÍBRIDO)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 xml:space="preserve">financiador, fundação, grande organização; governo </w:t>
            </w:r>
            <w:r>
              <w:rPr>
                <w:b/>
                <w:sz w:val="15"/>
              </w:rPr>
              <w:t>só</w:t>
            </w:r>
            <w:r>
              <w:rPr>
                <w:sz w:val="15"/>
              </w:rPr>
              <w:t xml:space="preserve"> por licitação/dispensa (Lei 14.133)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gerir portfólio com evidência, diligência, dossiês, relatórios ESG/ODS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assinatura do contrato anual (faturado na assinatura; reconhecido pro rata)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 xml:space="preserve">R$ 36 mil/ano (cons.) · R$ 72 mil/ano (base) · R$ 120 mil/ano (agr.) + implantação R$ 10–30 mil — </w:t>
            </w:r>
            <w:r>
              <w:rPr>
                <w:b/>
                <w:sz w:val="15"/>
              </w:rPr>
              <w:t>ancorado nas faixas-hipótese do catálogo recusado; sem evidência de mercado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anual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suporte, implantação, infra variável (hipóteses)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alta se o produto já existe (é o caso: torres, dossiê, relatórios)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adoção não validada; ADR-341; B2G sem checkout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nenhum: OSC não paga; dados de OSC continuam dela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B. Transacional (ATUAL)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financiador (pagador da cláusula)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operação rastreada até a quitação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quitação</w:t>
            </w:r>
            <w:r>
              <w:rPr>
                <w:sz w:val="15"/>
              </w:rPr>
              <w:t xml:space="preserve"> da operação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3,50 % do valor financiado (</w:t>
            </w:r>
            <w:r>
              <w:rPr>
                <w:b/>
                <w:sz w:val="15"/>
              </w:rPr>
              <w:t>FATO</w:t>
            </w:r>
            <w:r>
              <w:rPr>
                <w:sz w:val="15"/>
              </w:rPr>
              <w:t>, catálogo); modo deducted/additional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por operação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registro; sem provedor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alta por operação; volume baixo nos tickets-hipótese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parecer (natureza da taxa; não é intermediação de pagamento — ADR-284/337); conflito de interesse mitigado por não-custódia e match sem pay-to-rank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em modo deducted o projeto recebe 95 %; em additional recebe 100 %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C. Serviços profissionais (marketplace)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b/>
                <w:sz w:val="15"/>
              </w:rPr>
              <w:t>não modelado como receita</w:t>
            </w:r>
            <w:r>
              <w:rPr>
                <w:sz w:val="15"/>
              </w:rPr>
              <w:t xml:space="preserve">: </w:t>
            </w:r>
            <w:r>
              <w:rPr>
                <w:rFonts w:ascii="Consolas" w:hAnsi="Consolas"/>
                <w:sz w:val="15"/>
              </w:rPr>
              <w:t>marketplace.take_rate</w:t>
            </w:r>
            <w:r>
              <w:rPr>
                <w:sz w:val="15"/>
              </w:rPr>
              <w:t xml:space="preserve"> recusada (vitrine sem pagamento interno)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instituição de pagamento (Lei 12.865)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D. Inteligência (serviços avulsos)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OSC/pessoa/financiador que usa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prontidão, documento, créditos de IA, relatórios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entrega/execução bem-sucedida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R$ 29 / R$ 79 (hipóteses do catálogo); créditos R$ 0,10 (hipótese de teste); no modelo: R$ 1,50–8,00/OSC/mês e R$ 20–120/financiador/mês de adoção média (</w:t>
            </w:r>
            <w:r>
              <w:rPr>
                <w:b/>
                <w:sz w:val="15"/>
              </w:rPr>
              <w:t>PREMISSA DE MERCADO</w:t>
            </w:r>
            <w:r>
              <w:rPr>
                <w:sz w:val="15"/>
              </w:rPr>
              <w:t>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por uso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provedor de IA (não contratado), horas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depende do provedor (</w:t>
            </w:r>
            <w:r>
              <w:rPr>
                <w:rFonts w:ascii="Consolas" w:hAnsi="Consolas"/>
                <w:sz w:val="15"/>
              </w:rPr>
              <w:t>AI_COST_MODEL.md</w:t>
            </w:r>
            <w:r>
              <w:rPr>
                <w:sz w:val="15"/>
              </w:rPr>
              <w:t>: uma operação deficitária nomeada)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parecer (crédito pré-pago, CDC, NFS-e)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baixo preço; cota gratuita; patrocínio</w:t>
            </w:r>
          </w:p>
        </w:tc>
      </w:tr>
    </w:tbl>
    <w:p/>
    <w:p>
      <w:pPr>
        <w:pStyle w:val="Heading2"/>
      </w:pPr>
      <w:r>
        <w:t>4. Catálogo de preços proposto por perfil (FASE 3) — proposta, não decisão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2146"/>
          </w:tcPr>
          <w:p>
            <w:r>
              <w:rPr>
                <w:b/>
                <w:sz w:val="15"/>
              </w:rPr>
              <w:t>Perfil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Núcleo gratuito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Contrato institucional (HÍBRIDO)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Módulos adicionais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Implantação/integração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Serviços avulsos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Transacional</w:t>
            </w:r>
          </w:p>
        </w:tc>
      </w:tr>
      <w:tr>
        <w:tc>
          <w:tcPr>
            <w:tcW w:type="dxa" w:w="2146"/>
          </w:tcPr>
          <w:p>
            <w:r>
              <w:rPr>
                <w:sz w:val="15"/>
              </w:rPr>
              <w:t>Financiador / empresa / instituto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descoberta, candidaturas, diligência básica, acompanhamento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R$ 3–10 mil/mês (anual) — hipótese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ESG/ODS consolidado (R$ 3–15 mil/mês, hipótese do catálogo)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R$ 10–30 mil (hipótese)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relatórios/IA por uso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3,5 % na quitação (fato; inativa)</w:t>
            </w:r>
          </w:p>
        </w:tc>
      </w:tr>
      <w:tr>
        <w:tc>
          <w:tcPr>
            <w:tcW w:type="dxa" w:w="2146"/>
          </w:tcPr>
          <w:p>
            <w:r>
              <w:rPr>
                <w:sz w:val="15"/>
              </w:rPr>
              <w:t>Governo / fundo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torre territorial, editais públicos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só por licitação/dispensa</w:t>
            </w:r>
            <w:r>
              <w:rPr>
                <w:sz w:val="15"/>
              </w:rPr>
              <w:t xml:space="preserve">; faixa R$ 3–50 mil/mês (hipótese); </w:t>
            </w:r>
            <w:r>
              <w:rPr>
                <w:b/>
                <w:sz w:val="15"/>
              </w:rPr>
              <w:t>sem checkout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por contrato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 (recurso público: regras próprias)</w:t>
            </w:r>
          </w:p>
        </w:tc>
      </w:tr>
      <w:tr>
        <w:tc>
          <w:tcPr>
            <w:tcW w:type="dxa" w:w="2146"/>
          </w:tcPr>
          <w:p>
            <w:r>
              <w:rPr>
                <w:sz w:val="15"/>
              </w:rPr>
              <w:t>Executora (OSC)</w:t>
            </w:r>
          </w:p>
        </w:tc>
        <w:tc>
          <w:tcPr>
            <w:tcW w:type="dxa" w:w="2146"/>
          </w:tcPr>
          <w:p>
            <w:r>
              <w:rPr>
                <w:b/>
                <w:sz w:val="15"/>
              </w:rPr>
              <w:t>tudo o que protege, corrige e presta contas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nenhum (por desenho)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R$ 29 / R$ 79 / créditos (hipóteses); cota gratuita; patrocínio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não paga a taxa (quem paga é o financiador, modo additional) ou recebe 95 % (deducted) — definido no acordo</w:t>
            </w:r>
          </w:p>
        </w:tc>
      </w:tr>
      <w:tr>
        <w:tc>
          <w:tcPr>
            <w:tcW w:type="dxa" w:w="2146"/>
          </w:tcPr>
          <w:p>
            <w:r>
              <w:rPr>
                <w:sz w:val="15"/>
              </w:rPr>
              <w:t>Prestador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perfil, ofertas, entregas, reputação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nenhum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créditos de IA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sem comissão (recusada)</w:t>
            </w:r>
          </w:p>
        </w:tc>
      </w:tr>
      <w:tr>
        <w:tc>
          <w:tcPr>
            <w:tcW w:type="dxa" w:w="2146"/>
          </w:tcPr>
          <w:p>
            <w:r>
              <w:rPr>
                <w:sz w:val="15"/>
              </w:rPr>
              <w:t>Promotor de ideias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banco de ideias → projeto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nenhum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créditos de IA</w:t>
            </w:r>
          </w:p>
        </w:tc>
        <w:tc>
          <w:tcPr>
            <w:tcW w:type="dxa" w:w="2146"/>
          </w:tcPr>
          <w:p>
            <w:r>
              <w:rPr>
                <w:sz w:val="15"/>
              </w:rPr>
              <w:t>—</w:t>
            </w:r>
          </w:p>
        </w:tc>
      </w:tr>
    </w:tbl>
    <w:p/>
    <w:p>
      <w:r>
        <w:rPr>
          <w:b/>
        </w:rPr>
        <w:t>Evidência de mercado:</w:t>
      </w:r>
      <w:r>
        <w:t xml:space="preserve"> nenhuma faixa acima tem pesquisa de disposição a pagar; as únicas referências são as faixas-hipótese já escritas no catálogo (</w:t>
      </w:r>
      <w:r>
        <w:rPr>
          <w:rFonts w:ascii="Consolas" w:hAnsi="Consolas"/>
        </w:rPr>
        <w:t>hypothesis_note</w:t>
      </w:r>
      <w:r>
        <w:t>) e os múltiplos externos citados em §6. Validar antes de desenvolver (roadmap §8).</w:t>
      </w:r>
    </w:p>
    <w:p>
      <w:pPr>
        <w:pStyle w:val="Heading2"/>
      </w:pPr>
      <w:r>
        <w:t>5. Projeção de 120 meses (FASE 4) — três cenários × dois desenhos</w:t>
      </w:r>
    </w:p>
    <w:p>
      <w:r>
        <w:t xml:space="preserve">Premissas comuns do repositório: 3 novos financiadores/mês (hipótese do proprietário); por cenário, ticket financiado, operações por financiador/ano, fração quitada e prazo de quitação (os mesmos de </w:t>
      </w:r>
      <w:r>
        <w:rPr>
          <w:rFonts w:ascii="Consolas" w:hAnsi="Consolas"/>
        </w:rPr>
        <w:t>config/economic_model.json</w:t>
      </w:r>
      <w:r>
        <w:t>). Premissas de mercado (editáveis): churn, mês de ativação da taxa, inadimplência, prazo de recebimento, equipe, infra, marketing, CAC, contratos institucionais (só no HÍBRIDO). Custos de pessoal crescem com a carteira (1 FTE adicional a cada 15/20/25 clientes). Caixa inicial: zero (não informado).</w:t>
      </w:r>
    </w:p>
    <w:p>
      <w:pPr>
        <w:pStyle w:val="Heading3"/>
      </w:pPr>
      <w:r>
        <w:t>5.1 Desenho ATUAL (modelo vigente)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c>
          <w:tcPr>
            <w:tcW w:type="dxa" w:w="1073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Marco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Financiadores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Contratos inst.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ARR software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Receita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taxa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software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serviços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GMV originado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GMV quitado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EBITDA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Caixa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Mínimo de caixa até aqui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R$ 182.157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-368.485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-369.365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-369.365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32.1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R$ 5.643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R$ 5.643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R$ 832.842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R$ 109.294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-816.046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-817.979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-817.979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57.1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R$ 35.427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R$ 21.014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R$ 14.413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R$ 2.309.803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R$ 990.815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-1.076.854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-1.906.018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-1.906.018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91.6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R$ 107.416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R$ 80.898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R$ 26.517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R$ 4.249.571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R$ 2.311.385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-1.409.007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-4.596.608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-4.596.608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132.5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R$ 176.645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R$ 135.760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R$ 40.885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R$ 6.552.020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R$ 3.878.863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-1.817.899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-14.856.228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-14.856.228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R$ 1.356.264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R$ 14.062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-535.370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-537.138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-537.138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33.6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R$ 33.847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R$ 13.275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R$ 20.571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R$ 5.403.737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R$ 1.396.486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-1.133.936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-1.151.003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-1.151.003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62.5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R$ 348.484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R$ 293.672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R$ 54.812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R$ 14.894.455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R$ 8.390.635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-1.160.203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-2.347.098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-2.347.098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108.8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R$ 819.218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R$ 709.645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R$ 109.572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R$ 29.775.085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R$ 20.275.577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-1.231.720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-4.869.413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-4.869.413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187.0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R$ 1.614.959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R$ 1.412.818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R$ 202.141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R$ 54.929.734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R$ 40.366.228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-1.352.613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-13.116.534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-13.116.534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R$ 13.421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R$ 13.421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R$ 7.267.574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R$ 529.479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-880.566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-884.567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-884.567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34.4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R$ 376.377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R$ 327.346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R$ 49.031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R$ 27.875.635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R$ 10.830.526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-1.531.599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-1.631.363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-1.631.363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65.5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R$ 1.963.259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R$ 1.829.760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R$ 133.499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R$ 77.256.117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R$ 52.278.856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-429.106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-2.223.551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-2.223.551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119.1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R$ 4.698.927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R$ 4.419.934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R$ 278.994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R$ 161.454.703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R$ 126.283.821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R$ 1.471.214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-558.863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-2.227.267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228.1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R$ 10.265.128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R$ 9.690.099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R$ 575.029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R$ 332.771.559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R$ 276.859.962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R$ 5.337.751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R$ 21.506.932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-2.227.267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Receita acumulada 120 m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Ponto de equilíbrio (mês, EBITDA &gt; 0 sustentado)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Necessidade de capital (pior caixa)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R$ 1.166.309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R$ 14.856.228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R$ 9.849.033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R$ 13.116.534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R$ 59.733.770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R$ 2.227.267</w:t>
            </w:r>
          </w:p>
        </w:tc>
      </w:tr>
    </w:tbl>
    <w:p/>
    <w:p>
      <w:pPr>
        <w:pStyle w:val="Heading3"/>
      </w:pPr>
      <w:r>
        <w:t>5.2 Desenho HÍBRIDO (proposta — contraria ADR-341)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c>
          <w:tcPr>
            <w:tcW w:type="dxa" w:w="1073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Marco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Financiadores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Contratos inst.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ARR software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Receita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taxa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software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— serviços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GMV originado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GMV quitado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EBITDA 12 m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Caixa</w:t>
            </w:r>
          </w:p>
        </w:tc>
        <w:tc>
          <w:tcPr>
            <w:tcW w:type="dxa" w:w="1073"/>
          </w:tcPr>
          <w:p>
            <w:r>
              <w:rPr>
                <w:b/>
                <w:sz w:val="15"/>
              </w:rPr>
              <w:t>Mínimo de caixa até aqui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R$ 182.157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-368.485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-369.365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-369.365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32.1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R$ 53.105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R$ 29.543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R$ 23.900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R$ 5.643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R$ 832.842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R$ 109.294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-819.417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-824.090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-824.090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57.1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6.7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R$ 240.665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R$ 253.256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R$ 21.014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R$ 217.828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R$ 14.413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R$ 2.309.803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R$ 990.815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-1.014.734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-1.800.383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-1.800.383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91.6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14.4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R$ 519.270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R$ 631.346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R$ 80.898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R$ 523.930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R$ 26.517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R$ 4.249.571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R$ 2.311.385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-1.155.878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-3.995.261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-3.995.261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132.5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25.4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R$ 912.811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R$ 1.132.955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R$ 135.760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R$ 956.310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R$ 40.885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R$ 6.552.020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R$ 3.878.863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-1.294.964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-11.520.330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-11.520.330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R$ 5.677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R$ 1.356.264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R$ 14.062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-535.370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-537.138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-537.138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33.6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5.9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R$ 421.343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R$ 277.767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R$ 13.275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R$ 243.921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R$ 20.571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R$ 5.403.737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R$ 1.396.486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-1.004.053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-823.441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-823.441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62.5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16.5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R$ 1.191.501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R$ 1.434.680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R$ 293.672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R$ 1.086.197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R$ 54.812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R$ 14.894.455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R$ 8.390.635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-438.451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-1.017.805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-1.087.401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108.8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34.4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R$ 2.479.254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R$ 3.267.173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R$ 709.645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R$ 2.447.956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R$ 109.572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R$ 29.775.085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R$ 20.275.577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R$ 539.220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R$ 6.690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-1.087.401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187.0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68.2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R$ 4.910.479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R$ 6.633.861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R$ 1.412.818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R$ 5.018.902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R$ 202.141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R$ 54.929.734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R$ 40.366.228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R$ 2.399.148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R$ 11.150.786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-1.087.401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R$ 715.211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R$ 312.888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R$ 299.468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R$ 13.421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R$ 7.267.574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R$ 529.479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-682.201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-397.669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-610.534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34.4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17.5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R$ 2.103.287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R$ 1.800.562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R$ 327.346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R$ 1.424.185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R$ 49.031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R$ 27.875.635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R$ 10.830.526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-503.092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R$ 324.959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-610.534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65.5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39.3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R$ 4.717.771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R$ 6.220.089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R$ 1.829.760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R$ 4.256.831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R$ 133.499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R$ 77.256.117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R$ 52.278.856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R$ 2.890.991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R$ 4.060.508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-610.534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119.1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78.0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R$ 9.357.319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R$ 13.770.455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R$ 4.419.934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R$ 9.071.527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R$ 278.994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R$ 161.454.703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R$ 126.283.821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R$ 8.766.481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R$ 20.326.280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-610.534</w:t>
            </w:r>
          </w:p>
        </w:tc>
      </w:tr>
      <w:tr>
        <w:tc>
          <w:tcPr>
            <w:tcW w:type="dxa" w:w="1073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228.1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162.8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R$ 19.540.426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R$ 29.904.186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R$ 9.690.099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R$ 19.639.058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R$ 575.029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R$ 332.771.559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R$ 276.859.962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R$ 21.357.914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R$ 123.876.647</w:t>
            </w:r>
          </w:p>
        </w:tc>
        <w:tc>
          <w:tcPr>
            <w:tcW w:type="dxa" w:w="1073"/>
          </w:tcPr>
          <w:p>
            <w:r>
              <w:rPr>
                <w:sz w:val="15"/>
              </w:rPr>
              <w:t>R$ -610.534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Receita acumulada 120 m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Ponto de equilíbrio (mês, EBITDA &gt; 0 sustentado)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Necessidade de capital (pior caixa)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R$ 7.223.322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R$ 11.520.330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R$ 40.017.584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R$ 1.087.401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R$ 175.126.816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R$ 610.534</w:t>
            </w:r>
          </w:p>
        </w:tc>
      </w:tr>
    </w:tbl>
    <w:p/>
    <w:p>
      <w:r>
        <w:rPr>
          <w:b/>
        </w:rPr>
        <w:t>Leitura honesta:</w:t>
      </w:r>
      <w:r>
        <w:t xml:space="preserve"> no desenho ATUAL, com os tickets-hipótese do repositório, a taxa de 3,5 % sobre operações quitadas </w:t>
      </w:r>
      <w:r>
        <w:rPr>
          <w:b/>
        </w:rPr>
        <w:t>não sustenta uma equipe</w:t>
      </w:r>
      <w:r>
        <w:t xml:space="preserve"> nos cenários conservador e base (o custo de pessoal cresce com a carteira mais rápido que a receita por financiador); só o cenário agressivo (ticket R$ 500 mil, 3 operações/ano) atinge equilíbrio. No HÍBRIDO, o contrato institucional é o que paga a operação; a taxa vira crescimento adicional. Isso é o que o pedido chamou de "base de receita contratada para financiar a operação" — e é exatamente o que a ADR-341 recusou como assinatura. </w:t>
      </w:r>
      <w:r>
        <w:rPr>
          <w:b/>
        </w:rPr>
        <w:t>A decisão é do proprietário</w:t>
      </w:r>
      <w:r>
        <w:t>, e o modelo mostra o preço de cada escolha.</w:t>
      </w:r>
    </w:p>
    <w:p>
      <w:r>
        <w:t xml:space="preserve">Modelagem separada que o pedido exige: </w:t>
      </w:r>
      <w:r>
        <w:rPr>
          <w:b/>
        </w:rPr>
        <w:t>contratos assinados</w:t>
      </w:r>
      <w:r>
        <w:t xml:space="preserve"> (novos + renovações), </w:t>
      </w:r>
      <w:r>
        <w:rPr>
          <w:b/>
        </w:rPr>
        <w:t>receita faturada</w:t>
      </w:r>
      <w:r>
        <w:t xml:space="preserve"> (anual na assinatura; taxa na quitação; serviços na entrega), </w:t>
      </w:r>
      <w:r>
        <w:rPr>
          <w:b/>
        </w:rPr>
        <w:t>receita recebida</w:t>
      </w:r>
      <w:r>
        <w:t xml:space="preserve"> (prazo + inadimplência), </w:t>
      </w:r>
      <w:r>
        <w:rPr>
          <w:b/>
        </w:rPr>
        <w:t>receita reconhecida</w:t>
      </w:r>
      <w:r>
        <w:t xml:space="preserve"> (software pro rata; taxa só na quitação e só após a ativação da regra), </w:t>
      </w:r>
      <w:r>
        <w:rPr>
          <w:b/>
        </w:rPr>
        <w:t>GMV</w:t>
      </w:r>
      <w:r>
        <w:t xml:space="preserve"> (originado e quitado; nunca somado à receita), </w:t>
      </w:r>
      <w:r>
        <w:rPr>
          <w:b/>
        </w:rPr>
        <w:t>participação de autoria</w:t>
      </w:r>
      <w:r>
        <w:t xml:space="preserve"> (coluna própria; nunca somada), </w:t>
      </w:r>
      <w:r>
        <w:rPr>
          <w:b/>
        </w:rPr>
        <w:t>taxas e custos</w:t>
      </w:r>
      <w:r>
        <w:t xml:space="preserve"> (PIX sobre o recebido; tributos sobre o reconhecido — hipótese 8,65 %).</w:t>
      </w:r>
    </w:p>
    <w:p>
      <w:pPr>
        <w:pStyle w:val="Heading2"/>
      </w:pPr>
      <w:r>
        <w:t>Gráficos (FASE 5) — valores em R$; cenário base salvo indicação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receita_por_fonte_a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1a — Receita mensal por fonte (desenho ATUAL, cenário base)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receita_por_fonte_hib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1b — Receita mensal por fonte (desenho HÍBRIDO, cenário base)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receita_acumul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2 — Receita acumulada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mrr_a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3 — MRR e ARR de software (só no HÍBRIDO)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gmv_vs_recei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4 — GMV versus receita da plataforma (GMV não é receita)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ebit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5 — EBITDA e margem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cli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6 — Clientes institucionais e financiadores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caix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7 — Caixa e necessidade de capital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8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cenarios_marc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8 — Comparação dos três cenários nos marcos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_sensibil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Gráfico 9 — Sensibilidade (Base híbrido)</w:t>
      </w:r>
    </w:p>
    <w:p>
      <w:pPr>
        <w:pStyle w:val="Heading2"/>
      </w:pPr>
      <w:r>
        <w:t>6. Valuation e patrimônio do fundador (FASE 6) — faixas, com as premissas à vista</w:t>
      </w:r>
    </w:p>
    <w:p>
      <w:r>
        <w:t xml:space="preserve">Método: soma das partes — ARR de software × múltiplo SaaS + receita transacional líquida 12 m × múltiplo de marketplace + serviços 12 m × múltiplo baixo — tudo × (1 − desconto por concentração, risco regulatório, iliquidez e dependência do fundador). EV/EBITDA só como cruzamento quando EBITDA &gt; 0. </w:t>
      </w:r>
      <w:r>
        <w:rPr>
          <w:b/>
        </w:rPr>
        <w:t>Nenhum múltiplo é aplicado a GMV.</w:t>
      </w:r>
      <w:r>
        <w:t xml:space="preserve"> Múltiplos por cenário: SaaS 2,5× / 4,0× / 6,0×; transacional 1,5× / 2,3× / 4,0×; serviços 1,0× / 1,5× / 2,0×; desconto 45 % / 35 % / 25 %. Diluição (premissa): 100 % → 85 % (M12) → 70 % (M24) → 55 % (M48) → 45 % (M120).</w:t>
      </w:r>
    </w:p>
    <w:p>
      <w:r>
        <w:t xml:space="preserve">Fontes externas (âncoras, não comparáveis diretos; nenhuma brasileira nem do terceiro setor): Software Equity Group, SaaS Index 2Q26 — mediana pública EV/Receita TTM </w:t>
      </w:r>
      <w:r>
        <w:rPr>
          <w:b/>
        </w:rPr>
        <w:t>3,2×</w:t>
      </w:r>
      <w:r>
        <w:t xml:space="preserve"> (2Q25: 5,7×), M&amp;A privado mediana </w:t>
      </w:r>
      <w:r>
        <w:rPr>
          <w:b/>
        </w:rPr>
        <w:t>4,0×</w:t>
      </w:r>
      <w:r>
        <w:t xml:space="preserve"> e média 6,2× (lido via peony.ink em 09/10/2026); Aventis Advisors, SaaS Valuation Multiples 2015–2026 (abr/2026) — M&amp;A privado mediana Q1 2026 3,1×, período 4,5×, negócios US$ 0–5 M ≈ 3,3×; SaaS Capital 2025 — múltiplo de ARR </w:t>
      </w:r>
      <w:r>
        <w:rPr>
          <w:b/>
        </w:rPr>
        <w:t>modelado</w:t>
      </w:r>
      <w:r>
        <w:t xml:space="preserve"> 4,8–5,3×; Aventis, Marketplace Valuation Multiples 2025 (S&amp;P Capital IQ, mar/2025) — público mediana EV/Receita </w:t>
      </w:r>
      <w:r>
        <w:rPr>
          <w:b/>
        </w:rPr>
        <w:t>2,3×</w:t>
      </w:r>
      <w:r>
        <w:t>, média histórica 5,6×, EV/EBITDA mediana 18×.</w:t>
      </w:r>
    </w:p>
    <w:p>
      <w:pPr>
        <w:pStyle w:val="Heading3"/>
      </w:pPr>
      <w:r>
        <w:t>6.1 Desenho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c>
          <w:tcPr>
            <w:tcW w:type="dxa" w:w="1366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Marco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software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transacional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serviços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Desconto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(faixa do cenário)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Cruzamento EV/EBITDA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Participação do fundador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Patrimônio teórico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Participação necessária para R$ 100 mi / 500 mi / 1 bi / US$ 1 bi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R$ 870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R$ 870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11490753% (&gt;100%: inalcançável) / 57453764% (&gt;100%: inalcançável) / 114907528% (&gt;100%: inalcançável) / 631991405%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R$ 5.643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R$ 3.103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R$ 2.638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3222253% (&gt;100%: inalcançável) / 16111263% (&gt;100%: inalcançável) / 32222526% (&gt;100%: inalcançável) / 177223894%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R$ 28.795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R$ 14.413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R$ 23.764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R$ 16.635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420799% (&gt;100%: inalcançável) / 2103997% (&gt;100%: inalcançável) / 4207994% (&gt;100%: inalcançável) / 23143967%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R$ 110.851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R$ 26.517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R$ 75.553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R$ 41.554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132358% (&gt;100%: inalcançável) / 661790% (&gt;100%: inalcançável) / 1323580% (&gt;100%: inalcançável) / 7279692%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R$ 186.025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R$ 40.885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R$ 124.801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R$ 56.160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80128% (&gt;100%: inalcançável) / 400639% (&gt;100%: inalcançável) / 801279% (&gt;100%: inalcançável) / 4407033%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R$ 8.515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R$ 5.535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R$ 5.535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1806743% (&gt;100%: inalcançável) / 9033715% (&gt;100%: inalcançável) / 18067430% (&gt;100%: inalcançável) / 99370865%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R$ 27.892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R$ 30.857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R$ 38.187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R$ 32.459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261871% (&gt;100%: inalcançável) / 1309356% (&gt;100%: inalcançável) / 2618712% (&gt;100%: inalcançável) / 14402917%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R$ 617.020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R$ 82.217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R$ 454.504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R$ 318.153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22002% (&gt;100%: inalcançável) / 110010% (&gt;100%: inalcançável) / 220020% (&gt;100%: inalcançável) / 1210109%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R$ 1.491.000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R$ 164.358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R$ 1.075.983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R$ 591.791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9294% (&gt;100%: inalcançável) / 46469% (&gt;100%: inalcançável) / 92938% (&gt;100%: inalcançável) / 511160%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R$ 2.968.401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R$ 303.212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R$ 2.126.549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R$ 956.947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4702% (&gt;100%: inalcançável) / 23512% (&gt;100%: inalcançável) / 47025% (&gt;100%: inalcançável) / 258635%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R$ 26.841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R$ 20.131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R$ 20.131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496750% (&gt;100%: inalcançável) / 2483751% (&gt;100%: inalcançável) / 4967503% (&gt;100%: inalcançável) / 27321264%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R$ 1.196.122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R$ 98.063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R$ 970.639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R$ 825.043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10302% (&gt;100%: inalcançável) / 51512% (&gt;100%: inalcançável) / 103025% (&gt;100%: inalcançável) / 566637%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R$ 6.685.943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R$ 266.997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R$ 5.214.705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R$ 3.650.293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1918% (&gt;100%: inalcançável) / 9588% (&gt;100%: inalcançável) / 19177% (&gt;100%: inalcançável) / 105471%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R$ 16.150.438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R$ 557.987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R$ 12.531.319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R$ 22.068.215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R$ 6.892.225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798,0% / 3990% (&gt;100%: inalcançável) / 7980% (&gt;100%: inalcançável) / 43890%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R$ 35.407.620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R$ 1.150.058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R$ 27.418.259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R$ 80.066.272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R$ 12.338.217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364,7% / 1824% (&gt;100%: inalcançável) / 3647% (&gt;100%: inalcançável) / 20060% (&gt;100%: inalcançável)</w:t>
            </w:r>
          </w:p>
        </w:tc>
      </w:tr>
    </w:tbl>
    <w:p/>
    <w:p>
      <w:pPr>
        <w:pStyle w:val="Heading3"/>
      </w:pPr>
      <w:r>
        <w:t>6.2 Desenho HÍBRIDO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c>
          <w:tcPr>
            <w:tcW w:type="dxa" w:w="1366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Marco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software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transacional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serviços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Desconto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EV (faixa do cenário)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Cruzamento EV/EBITDA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Participação do fundador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Patrimônio teórico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Participação necessária para R$ 100 mi / 500 mi / 1 bi / US$ 1 bi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R$ 1.582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R$ 870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R$ 870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11490753% (&gt;100%: inalcançável) / 57453764% (&gt;100%: inalcançável) / 114907528% (&gt;100%: inalcançável) / 631991405%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R$ 132.763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R$ 5.643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R$ 76.123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R$ 64.704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131367% (&gt;100%: inalcançável) / 656833% (&gt;100%: inalcançável) / 1313666% (&gt;100%: inalcançável) / 7225163%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R$ 601.663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R$ 28.795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R$ 14.413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R$ 354.679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R$ 248.275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28195% (&gt;100%: inalcançável) / 140973% (&gt;100%: inalcançável) / 281945% (&gt;100%: inalcançável) / 1550698%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R$ 1.298.176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R$ 110.851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R$ 26.517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R$ 789.550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R$ 434.252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12665% (&gt;100%: inalcançável) / 63327% (&gt;100%: inalcançável) / 126654% (&gt;100%: inalcançável) / 696600%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conservador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R$ 2.282.027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R$ 186.025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R$ 40.885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R$ 1.379.915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R$ 620.962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7247% (&gt;100%: inalcançável) / 36234% (&gt;100%: inalcançável) / 72468% (&gt;100%: inalcançável) / 398575%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R$ 8.515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R$ 5.535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R$ 5.535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1806743% (&gt;100%: inalcançável) / 9033715% (&gt;100%: inalcançável) / 18067430% (&gt;100%: inalcançável) / 99370865%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R$ 1.685.372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R$ 27.892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R$ 30.857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R$ 1.133.678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R$ 963.627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8821% (&gt;100%: inalcançável) / 44104% (&gt;100%: inalcançável) / 88208% (&gt;100%: inalcançável) / 485146%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R$ 4.766.004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R$ 617.020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R$ 82.217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R$ 3.552.407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R$ 2.486.685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2815% (&gt;100%: inalcançável) / 14075% (&gt;100%: inalcançável) / 28150% (&gt;100%: inalcançável) / 154825%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R$ 9.917.015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R$ 1.491.000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R$ 164.358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R$ 7.522.042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R$ 6.470.635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R$ 4.137.123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1329% (&gt;100%: inalcançável) / 6647% (&gt;100%: inalcançável) / 13294% (&gt;100%: inalcançável) / 73118%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base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R$ 19.641.915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R$ 2.968.401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R$ 303.212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R$ 14.893.793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R$ 28.789.779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R$ 6.702.207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671,4% / 3357% (&gt;100%: inalcançável) / 6714% (&gt;100%: inalcançável) / 36928%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R$ 4.291.264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R$ 26.841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R$ 3.238.579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100%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R$ 3.238.579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3088% (&gt;100%: inalcançável) / 15439% (&gt;100%: inalcançável) / 30878% (&gt;100%: inalcançável) / 169828%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R$ 12.619.722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R$ 1.196.122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R$ 98.063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R$ 10.435.430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R$ 8.870.116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958,3% / 4791% (&gt;100%: inalcançável) / 9583% (&gt;100%: inalcançável) / 52705%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R$ 28.306.624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R$ 6.685.943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R$ 266.997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R$ 26.444.673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R$ 43.364.864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70%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R$ 18.511.271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378,1% / 1891% (&gt;100%: inalcançável) / 3781% (&gt;100%: inalcançável) / 20798%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M48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R$ 56.143.915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R$ 16.150.438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R$ 557.987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R$ 54.639.255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R$ 131.497.217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55%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R$ 30.051.590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183,0% / 915,1% / 1830% (&gt;100%: inalcançável) / 10066% (&gt;100%: inalcançável)</w:t>
            </w:r>
          </w:p>
        </w:tc>
      </w:tr>
      <w:tr>
        <w:tc>
          <w:tcPr>
            <w:tcW w:type="dxa" w:w="1366"/>
          </w:tcPr>
          <w:p>
            <w:r>
              <w:rPr>
                <w:sz w:val="15"/>
              </w:rPr>
              <w:t>agressivo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M120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R$ 117.242.555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R$ 35.407.620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R$ 1.150.058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1366"/>
          </w:tcPr>
          <w:p>
            <w:r>
              <w:rPr>
                <w:b/>
                <w:sz w:val="15"/>
              </w:rPr>
              <w:t>R$ 115.350.176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R$ 320.368.703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45%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R$ 51.907.579</w:t>
            </w:r>
          </w:p>
        </w:tc>
        <w:tc>
          <w:tcPr>
            <w:tcW w:type="dxa" w:w="1366"/>
          </w:tcPr>
          <w:p>
            <w:r>
              <w:rPr>
                <w:sz w:val="15"/>
              </w:rPr>
              <w:t>86,7% / 433,5% / 866,9% / 4768% (&gt;100%: inalcançável)</w:t>
            </w:r>
          </w:p>
        </w:tc>
      </w:tr>
    </w:tbl>
    <w:p/>
    <w:p>
      <w:r>
        <w:rPr>
          <w:b/>
        </w:rPr>
        <w:t>O que esses números significam e o que não significam.</w:t>
      </w:r>
      <w:r>
        <w:t xml:space="preserve"> *Valuation* é o que a empresa poderia valer numa negociação sob estas premissas; *patrimônio teórico* é a participação do fundador vezes esse valor — </w:t>
      </w:r>
      <w:r>
        <w:rPr>
          <w:b/>
        </w:rPr>
        <w:t>não é dinheiro disponível</w:t>
      </w:r>
      <w:r>
        <w:t xml:space="preserve"> (só vira caixa numa venda secundária ou saída, com desconto de iliquidez e tributos). Onde a participação necessária é &gt; 100 %, a meta é </w:t>
      </w:r>
      <w:r>
        <w:rPr>
          <w:b/>
        </w:rPr>
        <w:t>inalcançável</w:t>
      </w:r>
      <w:r>
        <w:t xml:space="preserve"> naquele marco e cenário. Marco em que cada meta de patrimônio do fundador cabe dentro da participação que a diluição-premissa deixa (DERIVADO):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3005"/>
          </w:tcPr>
          <w:p>
            <w:r>
              <w:rPr>
                <w:b/>
                <w:sz w:val="15"/>
              </w:rPr>
              <w:t>Cenário / desenho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R$ 100 milhões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R$ 500 milhões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R$ 1 bilhão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US$ 1 bilhão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conservador / atual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conservador / hibrido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base / atual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base / hibrido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agressivo / atual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  <w:tr>
        <w:tc>
          <w:tcPr>
            <w:tcW w:type="dxa" w:w="3005"/>
          </w:tcPr>
          <w:p>
            <w:r>
              <w:rPr>
                <w:sz w:val="15"/>
              </w:rPr>
              <w:t>agressivo / hibrido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  <w:tc>
          <w:tcPr>
            <w:tcW w:type="dxa" w:w="3005"/>
          </w:tcPr>
          <w:p>
            <w:r>
              <w:rPr>
                <w:sz w:val="15"/>
              </w:rPr>
              <w:t>não alcança em 120 m</w:t>
            </w:r>
          </w:p>
        </w:tc>
      </w:tr>
    </w:tbl>
    <w:p/>
    <w:p>
      <w:r>
        <w:t xml:space="preserve">Nenhuma meta cabe em nenhum cenário do repositório. Com 45% de participação em M120, R$ 100 milhões de patrimônio teórico exigiriam valuation de R$ 222.222.222; o melhor cenário modelado (agressivo híbrido) chega a R$ 115.350.176 em M120 — ou seja, faltam 1.9× em valor, e R$ 1 bilhão exigiria 10× isso. A resposta à pergunta "qual ritmo é necessário" é: tickets, volumes e contratos acima do cenário agressivo (ou diluição muito menor), para os quais </w:t>
      </w:r>
      <w:r>
        <w:rPr>
          <w:b/>
        </w:rPr>
        <w:t>não há evidência hoje</w:t>
      </w:r>
      <w:r>
        <w:t>. A planilha permite testar que combinação de contratos, operações, preços e custos chegaria lá — mas um número que a planilha calcula não é uma previsão.</w:t>
      </w:r>
    </w:p>
    <w:p>
      <w:pPr>
        <w:pStyle w:val="Heading2"/>
      </w:pPr>
      <w:r>
        <w:t>7. Sensibilidade e testes de estresse (FASE 7) — cenário Base, desenho HÍBRIDO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2504"/>
          </w:tcPr>
          <w:p>
            <w:r>
              <w:rPr>
                <w:b/>
                <w:sz w:val="15"/>
              </w:rPr>
              <w:t>Choque</w:t>
            </w:r>
          </w:p>
        </w:tc>
        <w:tc>
          <w:tcPr>
            <w:tcW w:type="dxa" w:w="2504"/>
          </w:tcPr>
          <w:p>
            <w:r>
              <w:rPr>
                <w:b/>
                <w:sz w:val="15"/>
              </w:rPr>
              <w:t>Receita acumulada 120 m</w:t>
            </w:r>
          </w:p>
        </w:tc>
        <w:tc>
          <w:tcPr>
            <w:tcW w:type="dxa" w:w="2504"/>
          </w:tcPr>
          <w:p>
            <w:r>
              <w:rPr>
                <w:b/>
                <w:sz w:val="15"/>
              </w:rPr>
              <w:t>Necessidade de capital</w:t>
            </w:r>
          </w:p>
        </w:tc>
        <w:tc>
          <w:tcPr>
            <w:tcW w:type="dxa" w:w="2504"/>
          </w:tcPr>
          <w:p>
            <w:r>
              <w:rPr>
                <w:b/>
                <w:sz w:val="15"/>
              </w:rPr>
              <w:t>Ponto de equilíbrio</w:t>
            </w:r>
          </w:p>
        </w:tc>
        <w:tc>
          <w:tcPr>
            <w:tcW w:type="dxa" w:w="2504"/>
          </w:tcPr>
          <w:p>
            <w:r>
              <w:rPr>
                <w:b/>
                <w:sz w:val="15"/>
              </w:rPr>
              <w:t>Caixa em M120</w:t>
            </w:r>
          </w:p>
        </w:tc>
        <w:tc>
          <w:tcPr>
            <w:tcW w:type="dxa" w:w="2504"/>
          </w:tcPr>
          <w:p>
            <w:r>
              <w:rPr>
                <w:b/>
                <w:sz w:val="15"/>
              </w:rPr>
              <w:t>EV em M48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(referência: Base híbrido)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R$ 40.017.584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R$ 1.087.401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R$ 11.150.786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R$ 7.522.042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crescimento 50 % menor (financiadores e contratos)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-50.0%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R$ 1.798.959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R$ 1.135.393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R$ 3.761.021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metade das operações por financiador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-10.7%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R$ 1.210.679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R$ 7.511.320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R$ 7.037.467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ticket médio financiado 50 % menor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-10.7%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R$ 1.210.681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R$ 7.511.297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R$ 7.037.467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quitação 3 meses mais lenta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-0.9%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R$ 1.144.133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R$ 10.841.249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R$ 7.460.050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churn dobrado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-24.3%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R$ 1.061.028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R$ 7.322.921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R$ 6.227.658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CAC dobrado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+0.0%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R$ 1.511.948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R$ 8.882.786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R$ 7.522.042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pessoal e infra 30 % maiores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+0.0%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R$ 1.938.736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R$ 4.644.049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R$ 7.522.042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inadimplência 15 %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+0.0%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R$ 1.374.500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R$ 6.430.744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R$ 7.522.042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ausência de contratos institucionais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-75.4%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R$ 13.116.534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não alcança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-13.116.534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R$ 1.075.983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taxa transacional nunca ativada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-21.4%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R$ 1.441.914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R$ 3.871.807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R$ 6.552.892</w:t>
            </w:r>
          </w:p>
        </w:tc>
      </w:tr>
      <w:tr>
        <w:tc>
          <w:tcPr>
            <w:tcW w:type="dxa" w:w="2504"/>
          </w:tcPr>
          <w:p>
            <w:r>
              <w:rPr>
                <w:sz w:val="15"/>
              </w:rPr>
              <w:t>concentração: 3 financiadores saem no mês 13 (churn 40 % no ano 2)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-10.0%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R$ 1.052.136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R$ 12.588.197</w:t>
            </w:r>
          </w:p>
        </w:tc>
        <w:tc>
          <w:tcPr>
            <w:tcW w:type="dxa" w:w="2504"/>
          </w:tcPr>
          <w:p>
            <w:r>
              <w:rPr>
                <w:sz w:val="15"/>
              </w:rPr>
              <w:t>R$ 7.214.440</w:t>
            </w:r>
          </w:p>
        </w:tc>
      </w:tr>
    </w:tbl>
    <w:p/>
    <w:p>
      <w:r>
        <w:rPr>
          <w:b/>
        </w:rPr>
        <w:t>Variáveis que mais afetam caixa, sobrevivência e valuation:</w:t>
      </w:r>
      <w:r>
        <w:t xml:space="preserve"> (1) existência e ritmo dos </w:t>
      </w:r>
      <w:r>
        <w:rPr>
          <w:b/>
        </w:rPr>
        <w:t>contratos institucionais</w:t>
      </w:r>
      <w:r>
        <w:t xml:space="preserve"> — sem eles o desenho volta ao ATUAL e não há equilíbrio nos cenários conservador/base; (2) </w:t>
      </w:r>
      <w:r>
        <w:rPr>
          <w:b/>
        </w:rPr>
        <w:t>ticket financiado</w:t>
      </w:r>
      <w:r>
        <w:t xml:space="preserve"> e </w:t>
      </w:r>
      <w:r>
        <w:rPr>
          <w:b/>
        </w:rPr>
        <w:t>operações por financiador</w:t>
      </w:r>
      <w:r>
        <w:t xml:space="preserve"> (a taxa é percentual de um volume que a plataforma não controla); (3) </w:t>
      </w:r>
      <w:r>
        <w:rPr>
          <w:b/>
        </w:rPr>
        <w:t>ativação da taxa</w:t>
      </w:r>
      <w:r>
        <w:t xml:space="preserve"> (parecer) — se nunca ativar, resta software + serviços; (4) </w:t>
      </w:r>
      <w:r>
        <w:rPr>
          <w:b/>
        </w:rPr>
        <w:t>custo de pessoal por cliente</w:t>
      </w:r>
      <w:r>
        <w:t>; (5) churn/concentração. Inadimplência e prazo de quitação pesam menos que os cinco acima.</w:t>
      </w:r>
    </w:p>
    <w:p>
      <w:pPr>
        <w:pStyle w:val="Heading2"/>
      </w:pPr>
      <w:r>
        <w:t>8. Riscos, conformidade e o que precisa de parecer (FASE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</w:tcPr>
          <w:p>
            <w:r>
              <w:rPr>
                <w:b/>
                <w:sz w:val="15"/>
              </w:rPr>
              <w:t>Tema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Risco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Estado no repositório</w:t>
            </w:r>
          </w:p>
        </w:tc>
        <w:tc>
          <w:tcPr>
            <w:tcW w:type="dxa" w:w="3756"/>
          </w:tcPr>
          <w:p>
            <w:r>
              <w:rPr>
                <w:b/>
                <w:sz w:val="15"/>
              </w:rPr>
              <w:t>Para parecer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Cobrança por intermediação / taxa de êxito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enquadramento como instituição de pagamento (Lei 12.865/2013, art. 6º) e conflito de interesse</w:t>
            </w:r>
          </w:p>
        </w:tc>
        <w:tc>
          <w:tcPr>
            <w:tcW w:type="dxa" w:w="3756"/>
          </w:tcPr>
          <w:p>
            <w:r>
              <w:rPr>
                <w:rFonts w:ascii="Consolas" w:hAnsi="Consolas"/>
                <w:sz w:val="15"/>
              </w:rPr>
              <w:t>success_fee.funding</w:t>
            </w:r>
            <w:r>
              <w:rPr>
                <w:sz w:val="15"/>
              </w:rPr>
              <w:t xml:space="preserve"> e </w:t>
            </w:r>
            <w:r>
              <w:rPr>
                <w:rFonts w:ascii="Consolas" w:hAnsi="Consolas"/>
                <w:sz w:val="15"/>
              </w:rPr>
              <w:t>marketplace.take_rate</w:t>
            </w:r>
            <w:r>
              <w:rPr>
                <w:sz w:val="15"/>
              </w:rPr>
              <w:t xml:space="preserve"> </w:t>
            </w:r>
            <w:r>
              <w:rPr>
                <w:b/>
                <w:sz w:val="15"/>
              </w:rPr>
              <w:t>recusadas</w:t>
            </w:r>
            <w:r>
              <w:rPr>
                <w:sz w:val="15"/>
              </w:rPr>
              <w:t>; não custodial (ADR-284)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não reabrir sem advogado de meios de pagamento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Natureza da taxa de serviço (3,5 %)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serviço de software (ISS/NFS-e) × intermediação; base de cálculo; modo deducted (projeto recebe menos)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 xml:space="preserve">carta amarela; regra inativa; </w:t>
            </w:r>
            <w:r>
              <w:rPr>
                <w:rFonts w:ascii="Consolas" w:hAnsi="Consolas"/>
                <w:sz w:val="15"/>
              </w:rPr>
              <w:t>fee_mode</w:t>
            </w:r>
            <w:r>
              <w:rPr>
                <w:sz w:val="15"/>
              </w:rPr>
              <w:t xml:space="preserve"> no acordo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parecer jurídico + contábil antes da carta verde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Contratos com entes públicos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Lei 14.133/2021: licitação / dispensa / inexigibilidade não analisadas</w:t>
            </w:r>
          </w:p>
        </w:tc>
        <w:tc>
          <w:tcPr>
            <w:tcW w:type="dxa" w:w="3756"/>
          </w:tcPr>
          <w:p>
            <w:r>
              <w:rPr>
                <w:rFonts w:ascii="Consolas" w:hAnsi="Consolas"/>
                <w:sz w:val="15"/>
              </w:rPr>
              <w:t>b2g.territorial_governance</w:t>
            </w:r>
            <w:r>
              <w:rPr>
                <w:sz w:val="15"/>
              </w:rPr>
              <w:t xml:space="preserve"> recusada; </w:t>
            </w:r>
            <w:r>
              <w:rPr>
                <w:b/>
                <w:sz w:val="15"/>
              </w:rPr>
              <w:t>sem checkout para governo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advogado de contratações públicas; modelo de edital/termo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Contrato institucional anual (HÍBRIDO)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reintroduz receita recorrente que a ADR-341 retirou; tributação (ISS, Simples/Presumido), reajuste, cancelamento, CDC não se aplica a B2B mas aplica-se a pessoa física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não existe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decisão do proprietário + ADR + parecer contábil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Créditos de IA pré-pagos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reconhecimento (obrigação até consumo), validade/devolução (CDC), NFS-e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piloto; carta amarela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parecer antes de venda real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Recursos de terceiros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nunca tratados como caixa próprio; nenhuma tabela de saldo; conciliação manual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provado por teste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manter; qualquer parceiro de pagamento exige revisão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Dados territoriais como produto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LGPD (reidentificação em agregados pequenos); DPO inexistente</w:t>
            </w:r>
          </w:p>
        </w:tc>
        <w:tc>
          <w:tcPr>
            <w:tcW w:type="dxa" w:w="3756"/>
          </w:tcPr>
          <w:p>
            <w:r>
              <w:rPr>
                <w:rFonts w:ascii="Consolas" w:hAnsi="Consolas"/>
                <w:sz w:val="15"/>
              </w:rPr>
              <w:t>data.territorial_intelligence</w:t>
            </w:r>
            <w:r>
              <w:rPr>
                <w:sz w:val="15"/>
              </w:rPr>
              <w:t xml:space="preserve"> recusada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RIPD + DPO antes de qualquer produto de dado</w:t>
            </w:r>
          </w:p>
        </w:tc>
      </w:tr>
      <w:tr>
        <w:tc>
          <w:tcPr>
            <w:tcW w:type="dxa" w:w="3756"/>
          </w:tcPr>
          <w:p>
            <w:r>
              <w:rPr>
                <w:sz w:val="15"/>
              </w:rPr>
              <w:t>Tributos no modelo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 xml:space="preserve">8,65 % é </w:t>
            </w:r>
            <w:r>
              <w:rPr>
                <w:b/>
                <w:sz w:val="15"/>
              </w:rPr>
              <w:t>hipótese</w:t>
            </w:r>
            <w:r>
              <w:rPr>
                <w:sz w:val="15"/>
              </w:rPr>
              <w:t xml:space="preserve"> (não é regime definido)</w:t>
            </w:r>
          </w:p>
        </w:tc>
        <w:tc>
          <w:tcPr>
            <w:tcW w:type="dxa" w:w="3756"/>
          </w:tcPr>
          <w:p>
            <w:r>
              <w:rPr>
                <w:rFonts w:ascii="Consolas" w:hAnsi="Consolas"/>
                <w:sz w:val="15"/>
              </w:rPr>
              <w:t>config/ai_economics.json</w:t>
            </w:r>
          </w:p>
        </w:tc>
        <w:tc>
          <w:tcPr>
            <w:tcW w:type="dxa" w:w="3756"/>
          </w:tcPr>
          <w:p>
            <w:r>
              <w:rPr>
                <w:sz w:val="15"/>
              </w:rPr>
              <w:t>contador define regime e alíquotas</w:t>
            </w:r>
          </w:p>
        </w:tc>
      </w:tr>
    </w:tbl>
    <w:p/>
    <w:p>
      <w:pPr>
        <w:pStyle w:val="Heading2"/>
      </w:pPr>
      <w:r>
        <w:t>9. Roadmap de execução (FASE 9) — validação comercial antes de funcionalidade cara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c>
          <w:tcPr>
            <w:tcW w:type="dxa" w:w="1669"/>
          </w:tcPr>
          <w:p>
            <w:r>
              <w:rPr>
                <w:b/>
                <w:sz w:val="15"/>
              </w:rPr>
              <w:t>Horizonte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Iniciativa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Valor esperado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Custo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Responsável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Dependências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Risco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Métrica de sucesso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Critério de interrupção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0–90 dias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Parecer jurídico/contábil da taxa de serviço (carta verde) e da matriz de elegibilidade de cobrança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destravar a única receita transacional já construída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honorários (não estimados)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advogado(a), contador(a)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parecer negativo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carta verde registrada; regra ativável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parecer contrário à natureza de serviço de software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0–90 dias</w:t>
            </w:r>
          </w:p>
        </w:tc>
        <w:tc>
          <w:tcPr>
            <w:tcW w:type="dxa" w:w="1669"/>
          </w:tcPr>
          <w:p>
            <w:r>
              <w:rPr>
                <w:b/>
                <w:sz w:val="15"/>
              </w:rPr>
              <w:t>Validação comercial</w:t>
            </w:r>
            <w:r>
              <w:rPr>
                <w:sz w:val="15"/>
              </w:rPr>
              <w:t xml:space="preserve"> do contrato institucional: 10 conversas com financiadores/fundações, 3 cartas de intenção com preço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evidência de disposição a pagar (hoje zero)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tempo do fundador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dossiê e torres já existem (v0.26–0.30)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ninguém paga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≥ 3 LOIs com valor ≥ R$ 3 mil/mês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0 LOIs em 90 dias → não reabrir ADR-341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0–90 dias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Medir custos reais (folha planejada, nuvem, suporte) e substituir as premissas de mercado da planilha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modelo deixa de ser hipótese sobre hipótese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baixo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faturas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69"/>
          </w:tcPr>
          <w:p>
            <w:r>
              <w:rPr>
                <w:rFonts w:ascii="Consolas" w:hAnsi="Consolas"/>
                <w:sz w:val="15"/>
              </w:rPr>
              <w:t>UNIT_ECONOMICS.md</w:t>
            </w:r>
            <w:r>
              <w:rPr>
                <w:sz w:val="15"/>
              </w:rPr>
              <w:t xml:space="preserve"> sem </w:t>
            </w:r>
            <w:r>
              <w:rPr>
                <w:rFonts w:ascii="Consolas" w:hAnsi="Consolas"/>
                <w:sz w:val="15"/>
              </w:rPr>
              <w:t>[PENDENTE]</w:t>
            </w:r>
            <w:r>
              <w:rPr>
                <w:sz w:val="15"/>
              </w:rPr>
              <w:t xml:space="preserve"> de custo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3–6 meses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 xml:space="preserve">Se houver LOIs: ADR nova + catálogo (regra </w:t>
            </w:r>
            <w:r>
              <w:rPr>
                <w:rFonts w:ascii="Consolas" w:hAnsi="Consolas"/>
                <w:sz w:val="15"/>
              </w:rPr>
              <w:t>enterprise.esg_portfolio</w:t>
            </w:r>
            <w:r>
              <w:rPr>
                <w:sz w:val="15"/>
              </w:rPr>
              <w:t>/implantação ativáveis por contrato avulso) + contrato-modelo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primeiros contratos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 xml:space="preserve">desenvolvimento pequeno (proposta/aceite já existem: </w:t>
            </w:r>
            <w:r>
              <w:rPr>
                <w:rFonts w:ascii="Consolas" w:hAnsi="Consolas"/>
                <w:sz w:val="15"/>
              </w:rPr>
              <w:t>offer_acceptances</w:t>
            </w:r>
            <w:r>
              <w:rPr>
                <w:sz w:val="15"/>
              </w:rPr>
              <w:t>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 + dev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ADR, parecer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reintroduzir paywall por descuido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3 contratos assinados e faturados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invariantes quebrados (teste)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3–6 meses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Piloto da taxa de serviço em 3 operações reais com carta verde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primeira receita transacional reconhecida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 + 1 financiador âncora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 xml:space="preserve">parecer; </w:t>
            </w:r>
            <w:r>
              <w:rPr>
                <w:rFonts w:ascii="Consolas" w:hAnsi="Consolas"/>
                <w:sz w:val="15"/>
              </w:rPr>
              <w:t>PLATFORM_PIX_KEY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quitação não acontece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3 operações quitadas e taxa paga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nenhuma quitação em 6 meses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6–12 meses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B2G por procedimento (dispensa/inexigibilidade) com 1 órgão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contrato público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jurídico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Lei 14.133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prazo público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1 contrato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669"/>
          </w:tcPr>
          <w:p>
            <w:r>
              <w:rPr>
                <w:sz w:val="15"/>
              </w:rPr>
              <w:t>12–24 meses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Reavaliar múltiplos e cenários com 12 meses de dados reais; decidir capital (ou não)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plano de capital baseado em fato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proprietário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histórico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modelo recalibrado</w:t>
            </w:r>
          </w:p>
        </w:tc>
        <w:tc>
          <w:tcPr>
            <w:tcW w:type="dxa" w:w="1669"/>
          </w:tcPr>
          <w:p>
            <w:r>
              <w:rPr>
                <w:sz w:val="15"/>
              </w:rPr>
              <w:t>—</w:t>
            </w:r>
          </w:p>
        </w:tc>
      </w:tr>
    </w:tbl>
    <w:p/>
    <w:p>
      <w:pPr>
        <w:pStyle w:val="Heading2"/>
      </w:pPr>
      <w:r>
        <w:t>10. Decisões que dependem do proprietário</w:t>
      </w:r>
    </w:p>
    <w:p>
      <w:pPr>
        <w:pStyle w:val="ListNumber"/>
      </w:pPr>
      <w:r>
        <w:rPr>
          <w:b/>
        </w:rPr>
        <w:t>Reabrir ou não a ADR-341</w:t>
      </w:r>
      <w:r>
        <w:t xml:space="preserve"> para contratos institucionais anuais (desenho HÍBRIDO). O modelo mostra que, nos cenários conservador e base, sem eles não há equilíbrio.</w:t>
      </w:r>
    </w:p>
    <w:p>
      <w:pPr>
        <w:pStyle w:val="ListNumber"/>
      </w:pPr>
      <w:r>
        <w:rPr>
          <w:b/>
        </w:rPr>
        <w:t>Ativar a taxa de serviço</w:t>
      </w:r>
      <w:r>
        <w:t xml:space="preserve"> (carta verde) — depende de parecer; definir modo padrão (</w:t>
      </w:r>
      <w:r>
        <w:rPr>
          <w:rFonts w:ascii="Consolas" w:hAnsi="Consolas"/>
        </w:rPr>
        <w:t>deducted</w:t>
      </w:r>
      <w:r>
        <w:t>/</w:t>
      </w:r>
      <w:r>
        <w:rPr>
          <w:rFonts w:ascii="Consolas" w:hAnsi="Consolas"/>
        </w:rPr>
        <w:t>additional</w:t>
      </w:r>
      <w:r>
        <w:t>) e quem paga.</w:t>
      </w:r>
    </w:p>
    <w:p>
      <w:pPr>
        <w:pStyle w:val="ListNumber"/>
      </w:pPr>
      <w:r>
        <w:rPr>
          <w:b/>
        </w:rPr>
        <w:t>Preços</w:t>
      </w:r>
      <w:r>
        <w:t xml:space="preserve">: aceitar as faixas-hipótese (R$ 36/72/120 mil por ano; implantação R$ 10–30 mil; R$ 29/79; créditos) como preços de </w:t>
      </w:r>
      <w:r>
        <w:rPr>
          <w:b/>
        </w:rPr>
        <w:t>teste</w:t>
      </w:r>
      <w:r>
        <w:t xml:space="preserve"> com validação comercial, ou pesquisar antes.</w:t>
      </w:r>
    </w:p>
    <w:p>
      <w:pPr>
        <w:pStyle w:val="ListNumber"/>
      </w:pPr>
      <w:r>
        <w:rPr>
          <w:b/>
        </w:rPr>
        <w:t>B2G</w:t>
      </w:r>
      <w:r>
        <w:t>: investir em procedimento de contratação pública ou adiar.</w:t>
      </w:r>
    </w:p>
    <w:p>
      <w:pPr>
        <w:pStyle w:val="ListNumber"/>
      </w:pPr>
      <w:r>
        <w:rPr>
          <w:b/>
        </w:rPr>
        <w:t>Capital</w:t>
      </w:r>
      <w:r>
        <w:t>: aceitar necessidade de capital estimada (hipótese) ou crescer com caixa (menos FTE) — a planilha permite testar.</w:t>
      </w:r>
    </w:p>
    <w:p>
      <w:pPr>
        <w:pStyle w:val="ListNumber"/>
      </w:pPr>
      <w:r>
        <w:rPr>
          <w:b/>
        </w:rPr>
        <w:t>Regime tributário</w:t>
      </w:r>
      <w:r>
        <w:t xml:space="preserve"> e estrutura societária (diluição-premissa) — contador(a).</w:t>
      </w:r>
    </w:p>
    <w:p>
      <w:pPr>
        <w:pStyle w:val="ListNumber"/>
      </w:pPr>
      <w:r>
        <w:rPr>
          <w:b/>
        </w:rPr>
        <w:t>UNIT_ECONOMICS.md</w:t>
      </w:r>
      <w:r>
        <w:t xml:space="preserve"> superado: marcar e substituir pelo modelo de 120 meses quando os custos forem medidos.</w:t>
      </w:r>
    </w:p>
    <w:p>
      <w:pPr>
        <w:pStyle w:val="Heading2"/>
      </w:pPr>
      <w:r>
        <w:t>11. Lacunas e como medi-las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r>
              <w:rPr>
                <w:b/>
                <w:sz w:val="15"/>
              </w:rPr>
              <w:t>Lacuna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Como medir</w:t>
            </w:r>
          </w:p>
        </w:tc>
        <w:tc>
          <w:tcPr>
            <w:tcW w:type="dxa" w:w="5008"/>
          </w:tcPr>
          <w:p>
            <w:r>
              <w:rPr>
                <w:b/>
                <w:sz w:val="15"/>
              </w:rPr>
              <w:t>Prazo sugerido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Disposição a pagar por contrato institucional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10 entrevistas + 3 LOIs com preço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90 dias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Ticket e frequência reais de operações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3 operações piloto quitadas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6 meses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Custo de pessoal, nuvem, suporte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folha planejada + 3 faturas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30 dias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Churn e concentração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12 meses de carteira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12 meses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Alíquotas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parecer contábil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30 dias</w:t>
            </w:r>
          </w:p>
        </w:tc>
      </w:tr>
      <w:tr>
        <w:tc>
          <w:tcPr>
            <w:tcW w:type="dxa" w:w="5008"/>
          </w:tcPr>
          <w:p>
            <w:r>
              <w:rPr>
                <w:sz w:val="15"/>
              </w:rPr>
              <w:t>Múltiplos aplicáveis ao Brasil/terceiro setor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comparáveis privados (não encontrados nesta rodada)</w:t>
            </w:r>
          </w:p>
        </w:tc>
        <w:tc>
          <w:tcPr>
            <w:tcW w:type="dxa" w:w="5008"/>
          </w:tcPr>
          <w:p>
            <w:r>
              <w:rPr>
                <w:sz w:val="15"/>
              </w:rPr>
              <w:t>contínuo</w:t>
            </w:r>
          </w:p>
        </w:tc>
      </w:tr>
    </w:tbl>
    <w:p/>
    <w:p>
      <w:pPr>
        <w:pStyle w:val="Heading2"/>
      </w:pPr>
      <w:r>
        <w:t>12. Entregáveis desta análise</w:t>
      </w:r>
    </w:p>
    <w:p>
      <w:r>
        <w:rPr>
          <w:rFonts w:ascii="Consolas" w:hAnsi="Consolas"/>
        </w:rPr>
        <w:t>IMPACTO_MODELO_120M.xlsx</w:t>
      </w:r>
      <w:r>
        <w:t xml:space="preserve"> (premissas editáveis, 6 abas mensais com fórmulas abertas, marcos, fontes; recalculada e conferida), </w:t>
      </w:r>
      <w:r>
        <w:rPr>
          <w:rFonts w:ascii="Consolas" w:hAnsi="Consolas"/>
        </w:rPr>
        <w:t>resultados_120m.json</w:t>
      </w:r>
      <w:r>
        <w:t xml:space="preserve">, gráficos </w:t>
      </w:r>
      <w:r>
        <w:rPr>
          <w:rFonts w:ascii="Consolas" w:hAnsi="Consolas"/>
        </w:rPr>
        <w:t>g1</w:t>
      </w:r>
      <w:r>
        <w:t>–</w:t>
      </w:r>
      <w:r>
        <w:rPr>
          <w:rFonts w:ascii="Consolas" w:hAnsi="Consolas"/>
        </w:rPr>
        <w:t>g9</w:t>
      </w:r>
      <w:r>
        <w:t xml:space="preserve"> (PNG), este relatório (MD e DOCX), </w:t>
      </w:r>
      <w:r>
        <w:rPr>
          <w:rFonts w:ascii="Consolas" w:hAnsi="Consolas"/>
        </w:rPr>
        <w:t>scripts/analysis/economic_model_120m.py</w:t>
      </w:r>
      <w:r>
        <w:t xml:space="preserve"> (motor) e </w:t>
      </w:r>
      <w:r>
        <w:rPr>
          <w:rFonts w:ascii="Consolas" w:hAnsi="Consolas"/>
        </w:rPr>
        <w:t>make_economic_report.py</w:t>
      </w:r>
      <w:r>
        <w:t xml:space="preserve"> (este texto). </w:t>
      </w:r>
      <w:r>
        <w:rPr>
          <w:b/>
        </w:rPr>
        <w:t>Nenhuma alteração no produto.</w:t>
      </w:r>
      <w:r>
        <w:t xml:space="preserve"> A FASE 10 (implementação) só começa com a aprovação explícita das decisões do §10.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