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</w:pPr>
      <w:r>
        <w:rPr>
          <w:rFonts w:ascii="Calibri" w:cs="Calibri" w:eastAsia="Calibri" w:hAnsi="Calibri"/>
          <w:b/>
          <w:bCs/>
          <w:color w:val="6B7A80"/>
          <w:sz w:val="22"/>
          <w:szCs w:val="22"/>
        </w:rPr>
        <w:t xml:space="preserve">PLATAFORMA IMPACTO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F3E46"/>
          <w:sz w:val="44"/>
          <w:szCs w:val="44"/>
        </w:rPr>
        <w:t xml:space="preserve">Dependências de terceiros e de pessoas</w:t>
      </w:r>
    </w:p>
    <w:p>
      <w:pPr>
        <w:spacing w:after="120" w:before="0"/>
      </w:pPr>
      <w:r>
        <w:rPr>
          <w:rFonts w:ascii="Calibri" w:cs="Calibri" w:eastAsia="Calibri" w:hAnsi="Calibri"/>
          <w:color w:val="444444"/>
          <w:sz w:val="24"/>
          <w:szCs w:val="24"/>
        </w:rPr>
        <w:t xml:space="preserve">Tudo o que precisa ser providenciado fora do código, antes de dados reais</w:t>
      </w:r>
    </w:p>
    <w:p>
      <w:pPr>
        <w:pBdr>
          <w:bottom w:val="single" w:color="CCCCCC" w:sz="6"/>
        </w:pBdr>
        <w:spacing w:after="240"/>
      </w:pPr>
      <w:r>
        <w:t xml:space="preserve"/>
      </w:r>
    </w:p>
    <w:p>
      <w:pPr>
        <w:spacing w:after="120" w:before="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Versão 0.23.0  ·  7 de outubro de 2026</w:t>
      </w:r>
    </w:p>
    <w:p>
      <w:pPr>
        <w:spacing w:after="12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</w:rPr>
        <w:t xml:space="preserve">Como ler este documento</w:t>
      </w:r>
    </w:p>
    <w:p>
      <w:pPr>
        <w:spacing w:after="120" w:before="0"/>
      </w:pPr>
      <w:r>
        <w:rPr>
          <w:rFonts w:ascii="Calibri" w:cs="Calibri" w:eastAsia="Calibri" w:hAnsi="Calibri"/>
          <w:sz w:val="20"/>
          <w:szCs w:val="20"/>
        </w:rPr>
        <w:t xml:space="preserve">Cada item abaixo é algo que NÃO pode ser resolvido escrevendo código. São contas a abrir, profissionais a contratar, decisões que só o proprietário pode tomar e verificações que exigem uma pessoa operando um dispositivo.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 engenharia da versão 0.23.0 está fechada: 2.193 testes automatizados passam, e o estado de cada item está declarado. O que falta é desta lista.</w:t>
      </w:r>
    </w:p>
    <w:p>
      <w:pPr>
        <w:spacing w:after="120" w:before="0"/>
      </w:pPr>
      <w:r>
        <w:rPr>
          <w:rFonts w:ascii="Calibri" w:cs="Calibri" w:eastAsia="Calibri" w:hAnsi="Calibri"/>
          <w:sz w:val="20"/>
          <w:szCs w:val="20"/>
        </w:rPr>
        <w:t xml:space="preserve">As seções estão em ordem de urgência, e o título de cada uma diz o que ela bloqueia. Um item da seção D não impede publicar — impede usar um recurso específico. Um item da seção A impede qualquer publicação.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Sobre custos: este documento não traz valores. Preço de certificado, de pentest, de honorário e de nuvem varia por fornecedor, por porte e por data, e inventar número aqui seria pior que não ter. Onde o custo existe, está dito qual é a natureza dele (único, anual, por uso) para que você saiba o que perguntar ao cotar.</w:t>
      </w:r>
    </w:p>
    <w:p>
      <w:pPr>
        <w:spacing w:after="12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</w:rPr>
        <w:t xml:space="preserve">O caminho crítico</w:t>
      </w:r>
    </w:p>
    <w:p>
      <w:pPr>
        <w:spacing w:after="120" w:before="0"/>
      </w:pPr>
      <w:r>
        <w:rPr>
          <w:rFonts w:ascii="Calibri" w:cs="Calibri" w:eastAsia="Calibri" w:hAnsi="Calibri"/>
          <w:sz w:val="20"/>
          <w:szCs w:val="20"/>
        </w:rPr>
        <w:t xml:space="preserve">Se a pergunta for “qual é o mínimo para publicar um ambiente e testar”, a resposta é curta — e um item dela costuma surpreender: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950"/>
        <w:gridCol w:w="2500"/>
        <w:gridCol w:w="2700"/>
        <w:gridCol w:w="2236"/>
      </w:tblGrid>
      <w:tr>
        <w:trPr>
          <w:tblHeader/>
        </w:trPr>
        <w:tc>
          <w:tcPr>
            <w:tcW w:type="dxa" w:w="520"/>
            <w:shd w:fill="2F3E4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1950"/>
            <w:shd w:fill="2F3E4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O mínimo para publicar</w:t>
            </w:r>
          </w:p>
        </w:tc>
        <w:tc>
          <w:tcPr>
            <w:tcW w:type="dxa" w:w="2500"/>
            <w:shd w:fill="2F3E4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Situação</w:t>
            </w:r>
          </w:p>
        </w:tc>
        <w:tc>
          <w:tcPr>
            <w:tcW w:type="dxa" w:w="2700"/>
            <w:shd w:fill="2F3E4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Observação</w:t>
            </w:r>
          </w:p>
        </w:tc>
        <w:tc>
          <w:tcPr>
            <w:tcW w:type="dxa" w:w="2236"/>
            <w:shd w:fill="2F3E4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Quem</w:t>
            </w:r>
          </w:p>
        </w:tc>
      </w:tr>
      <w:tr>
        <w:tc>
          <w:tcPr>
            <w:tcW w:type="dxa" w:w="5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1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Três segredos da aplicação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Comando pronto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python -m impacto.cli gen-secrets</w:t>
            </w:r>
          </w:p>
        </w:tc>
        <w:tc>
          <w:tcPr>
            <w:tcW w:type="dxa" w:w="223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Você</w:t>
            </w:r>
          </w:p>
        </w:tc>
      </w:tr>
      <w:tr>
        <w:tc>
          <w:tcPr>
            <w:tcW w:type="dxa" w:w="52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195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Provedor SMTP</w:t>
            </w:r>
          </w:p>
        </w:tc>
        <w:tc>
          <w:tcPr>
            <w:tcW w:type="dxa" w:w="25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FALTA</w:t>
            </w:r>
          </w:p>
        </w:tc>
        <w:tc>
          <w:tcPr>
            <w:tcW w:type="dxa" w:w="27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A aplicação RECUSA subir sem. Verificado no boot.</w:t>
            </w:r>
          </w:p>
        </w:tc>
        <w:tc>
          <w:tcPr>
            <w:tcW w:type="dxa" w:w="2236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Você contrata</w:t>
            </w:r>
          </w:p>
        </w:tc>
      </w:tr>
      <w:tr>
        <w:tc>
          <w:tcPr>
            <w:tcW w:type="dxa" w:w="5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1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PostgreSQL 16 gerenciado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FALTA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Com PITR; o script de criação dos papéis está pronto.</w:t>
            </w:r>
          </w:p>
        </w:tc>
        <w:tc>
          <w:tcPr>
            <w:tcW w:type="dxa" w:w="223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Você contrata</w:t>
            </w:r>
          </w:p>
        </w:tc>
      </w:tr>
      <w:tr>
        <w:tc>
          <w:tcPr>
            <w:tcW w:type="dxa" w:w="52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195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Domínio com TLS</w:t>
            </w:r>
          </w:p>
        </w:tc>
        <w:tc>
          <w:tcPr>
            <w:tcW w:type="dxa" w:w="25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FALTA</w:t>
            </w:r>
          </w:p>
        </w:tc>
        <w:tc>
          <w:tcPr>
            <w:tcW w:type="dxa" w:w="27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COOKIE_SECURE=true exige https.</w:t>
            </w:r>
          </w:p>
        </w:tc>
        <w:tc>
          <w:tcPr>
            <w:tcW w:type="dxa" w:w="2236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Você</w:t>
            </w:r>
          </w:p>
        </w:tc>
      </w:tr>
      <w:tr>
        <w:tc>
          <w:tcPr>
            <w:tcW w:type="dxa" w:w="5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5</w:t>
            </w:r>
          </w:p>
        </w:tc>
        <w:tc>
          <w:tcPr>
            <w:tcW w:type="dxa" w:w="1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Hospedagem de contêiner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FALTA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O Dockerfile está pronto.</w:t>
            </w:r>
          </w:p>
        </w:tc>
        <w:tc>
          <w:tcPr>
            <w:tcW w:type="dxa" w:w="223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Você contrata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Repare no item 2: o SMTP é uma das 14 integrações hoje bloqueadas, e é a ÚNICA que precisa sair do bloqueio para publicar qualquer coisa. As outras treze podem seguir desligadas — armazenamento local, sem antivírus, sem cobrança, IA local. Tudo funciona; só não com fornecedor externo.</w:t>
      </w:r>
    </w:p>
    <w:p>
      <w:pPr>
        <w:spacing w:after="240" w:before="0"/>
      </w:pPr>
      <w:r>
        <w:rPr>
          <w:rFonts w:ascii="Calibri" w:cs="Calibri" w:eastAsia="Calibri" w:hAnsi="Calibri"/>
          <w:sz w:val="20"/>
          <w:szCs w:val="20"/>
        </w:rPr>
        <w:t xml:space="preserve">Com esses cinco itens é possível publicar um ambiente restrito, com dados fictícios, e testar. É também onde o trabalho de design precisa acontecer: sobre telas que respondem de verdade.</w:t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</w:rPr>
        <w:t xml:space="preserve">A. Bloqueia publicar qualquer ambiente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</w:rPr>
        <w:t xml:space="preserve"/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Sem estes sete itens, a aplicação não sobe. Não é escolha de projeto: a validação de configuração recusa o boot, e isso foi verificado.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950"/>
        <w:gridCol w:w="2500"/>
        <w:gridCol w:w="2700"/>
        <w:gridCol w:w="2236"/>
      </w:tblGrid>
      <w:tr>
        <w:trPr>
          <w:tblHeader/>
        </w:trPr>
        <w:tc>
          <w:tcPr>
            <w:tcW w:type="dxa" w:w="520"/>
            <w:shd w:fill="2F3E4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1950"/>
            <w:shd w:fill="2F3E4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O que é</w:t>
            </w:r>
          </w:p>
        </w:tc>
        <w:tc>
          <w:tcPr>
            <w:tcW w:type="dxa" w:w="2500"/>
            <w:shd w:fill="2F3E4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Por que é necessário (o que quebra sem)</w:t>
            </w:r>
          </w:p>
        </w:tc>
        <w:tc>
          <w:tcPr>
            <w:tcW w:type="dxa" w:w="2700"/>
            <w:shd w:fill="2F3E4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Como conseguir</w:t>
            </w:r>
          </w:p>
        </w:tc>
        <w:tc>
          <w:tcPr>
            <w:tcW w:type="dxa" w:w="2236"/>
            <w:shd w:fill="2F3E4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Quem providencia / a quem procurar</w:t>
            </w:r>
          </w:p>
        </w:tc>
      </w:tr>
      <w:tr>
        <w:tc>
          <w:tcPr>
            <w:tcW w:type="dxa" w:w="5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A1</w:t>
            </w:r>
          </w:p>
        </w:tc>
        <w:tc>
          <w:tcPr>
            <w:tcW w:type="dxa" w:w="1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Três segredos da aplicação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SECRET_KEY, VOUCHER_HMAC_KEY, FIELD_ENCRYPTION_KEY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A aplicação RECUSA subir sem eles. Verificado: ConfigError no boot. Cifram o segredo TOTP, assinam vouchers e protegem campos sensíveis.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Rodar: python -m impacto.cli gen-secrets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Guardar no cofre do provedor, NUNCA no git.</w:t>
            </w:r>
          </w:p>
        </w:tc>
        <w:tc>
          <w:tcPr>
            <w:tcW w:type="dxa" w:w="223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Você ou quem operar a infraestrutura.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Não depende de terceiro.</w:t>
            </w:r>
          </w:p>
        </w:tc>
      </w:tr>
      <w:tr>
        <w:tc>
          <w:tcPr>
            <w:tcW w:type="dxa" w:w="52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A2</w:t>
            </w:r>
          </w:p>
        </w:tc>
        <w:tc>
          <w:tcPr>
            <w:tcW w:type="dxa" w:w="195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Domínio e DNS</w:t>
            </w:r>
          </w:p>
        </w:tc>
        <w:tc>
          <w:tcPr>
            <w:tcW w:type="dxa" w:w="25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Sem domínio não há TLS, não há PUBLIC_BASE_URL https, e a aplicação recusa subir em produção.</w:t>
            </w:r>
          </w:p>
        </w:tc>
        <w:tc>
          <w:tcPr>
            <w:tcW w:type="dxa" w:w="27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Registrar o domínio e apontar o DNS para a hospedagem. Para .org.br / .com.br: registro.br.</w:t>
            </w:r>
          </w:p>
        </w:tc>
        <w:tc>
          <w:tcPr>
            <w:tcW w:type="dxa" w:w="2236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Você.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Registro.br (domínios .br) ou registrador internacional.</w:t>
            </w:r>
          </w:p>
        </w:tc>
      </w:tr>
      <w:tr>
        <w:tc>
          <w:tcPr>
            <w:tcW w:type="dxa" w:w="5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A3</w:t>
            </w:r>
          </w:p>
        </w:tc>
        <w:tc>
          <w:tcPr>
            <w:tcW w:type="dxa" w:w="1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Certificado TLS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COOKIE_SECURE=true é obrigatório em produção, e cookie seguro só trafega em https.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Let's Encrypt é gratuito e automatizável. Alternativa: certificado do provedor de nuvem.</w:t>
            </w:r>
          </w:p>
        </w:tc>
        <w:tc>
          <w:tcPr>
            <w:tcW w:type="dxa" w:w="223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Quem operar a infraestrutura.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Let's Encrypt ou o provedor de nuvem.</w:t>
            </w:r>
          </w:p>
        </w:tc>
      </w:tr>
      <w:tr>
        <w:tc>
          <w:tcPr>
            <w:tcW w:type="dxa" w:w="52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A4</w:t>
            </w:r>
          </w:p>
        </w:tc>
        <w:tc>
          <w:tcPr>
            <w:tcW w:type="dxa" w:w="195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PostgreSQL 16 gerenciado, com backup e PITR</w:t>
            </w:r>
          </w:p>
        </w:tc>
        <w:tc>
          <w:tcPr>
            <w:tcW w:type="dxa" w:w="25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É o banco do produto. PITR define o RPO — quanto de dado se perde num incidente. O código não controla isso.</w:t>
            </w:r>
          </w:p>
        </w:tc>
        <w:tc>
          <w:tcPr>
            <w:tcW w:type="dxa" w:w="27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Contratar instância gerenciada, rede privada, PITR habilitado. Rodar infra/db/bootstrap.sql para criar os papéis impacto_owner e impacto_app.</w:t>
            </w:r>
          </w:p>
        </w:tc>
        <w:tc>
          <w:tcPr>
            <w:tcW w:type="dxa" w:w="2236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Você contrata; quem operar configura.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Provedor de nuvem (região Brasil recomendada por LGPD).</w:t>
            </w:r>
          </w:p>
        </w:tc>
      </w:tr>
      <w:tr>
        <w:tc>
          <w:tcPr>
            <w:tcW w:type="dxa" w:w="5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A5</w:t>
            </w:r>
          </w:p>
        </w:tc>
        <w:tc>
          <w:tcPr>
            <w:tcW w:type="dxa" w:w="1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Provedor SMTP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(ENTREGA DE E-MAIL)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A aplicação RECUSA subir em produção com MAIL_PROVIDER=console. Sem e-mail não há verificação de conta, recuperação de senha nem notificação — ninguém consegue entrar.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Contratar provedor de envio transacional. Configurar SPF, DKIM e DMARC no DNS, senão o e-mail cai em spam.</w:t>
            </w:r>
          </w:p>
        </w:tc>
        <w:tc>
          <w:tcPr>
            <w:tcW w:type="dxa" w:w="223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Você contrata.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Provedor de e-mail transacional. Peça ao fornecedor as instruções de SPF/DKIM.</w:t>
            </w:r>
          </w:p>
        </w:tc>
      </w:tr>
      <w:tr>
        <w:tc>
          <w:tcPr>
            <w:tcW w:type="dxa" w:w="52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A6</w:t>
            </w:r>
          </w:p>
        </w:tc>
        <w:tc>
          <w:tcPr>
            <w:tcW w:type="dxa" w:w="195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Hospedagem da aplicação (contêiner)</w:t>
            </w:r>
          </w:p>
        </w:tc>
        <w:tc>
          <w:tcPr>
            <w:tcW w:type="dxa" w:w="25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O Dockerfile existe e está pronto; falta onde executá-lo.</w:t>
            </w:r>
          </w:p>
        </w:tc>
        <w:tc>
          <w:tcPr>
            <w:tcW w:type="dxa" w:w="27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Qualquer provedor que rode contêiner. Precisa alcançar o PostgreSQL por rede privada.</w:t>
            </w:r>
          </w:p>
        </w:tc>
        <w:tc>
          <w:tcPr>
            <w:tcW w:type="dxa" w:w="2236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Você contrata.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Provedor de nuvem.</w:t>
            </w:r>
          </w:p>
        </w:tc>
      </w:tr>
      <w:tr>
        <w:tc>
          <w:tcPr>
            <w:tcW w:type="dxa" w:w="5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A7</w:t>
            </w:r>
          </w:p>
        </w:tc>
        <w:tc>
          <w:tcPr>
            <w:tcW w:type="dxa" w:w="1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Cofre de segredos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Os segredos de A1 e as credenciais dos fornecedores não podem ficar em arquivo nem no git.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Usar o cofre do próprio provedor de nuvem, ou um dedicado.</w:t>
            </w:r>
          </w:p>
        </w:tc>
        <w:tc>
          <w:tcPr>
            <w:tcW w:type="dxa" w:w="223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Quem operar a infraestrutura.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Provedor de nuvem.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</w:rPr>
        <w:t xml:space="preserve">B. Bloqueia dados reais de pessoas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</w:rPr>
        <w:t xml:space="preserve"/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A partir do momento em que existir uma pessoa real cadastrada, um documento real enviado ou um dado pessoal tratado, estes itens deixam de ser recomendação e passam a ser obrigação — a maior parte deles, obrigação legal.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950"/>
        <w:gridCol w:w="2500"/>
        <w:gridCol w:w="2700"/>
        <w:gridCol w:w="2236"/>
      </w:tblGrid>
      <w:tr>
        <w:trPr>
          <w:tblHeader/>
        </w:trPr>
        <w:tc>
          <w:tcPr>
            <w:tcW w:type="dxa" w:w="520"/>
            <w:shd w:fill="2F3E4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1950"/>
            <w:shd w:fill="2F3E4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O que é</w:t>
            </w:r>
          </w:p>
        </w:tc>
        <w:tc>
          <w:tcPr>
            <w:tcW w:type="dxa" w:w="2500"/>
            <w:shd w:fill="2F3E4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Por que é necessário (o que quebra sem)</w:t>
            </w:r>
          </w:p>
        </w:tc>
        <w:tc>
          <w:tcPr>
            <w:tcW w:type="dxa" w:w="2700"/>
            <w:shd w:fill="2F3E4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Como conseguir</w:t>
            </w:r>
          </w:p>
        </w:tc>
        <w:tc>
          <w:tcPr>
            <w:tcW w:type="dxa" w:w="2236"/>
            <w:shd w:fill="2F3E4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Quem providencia / a quem procurar</w:t>
            </w:r>
          </w:p>
        </w:tc>
      </w:tr>
      <w:tr>
        <w:tc>
          <w:tcPr>
            <w:tcW w:type="dxa" w:w="5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B1</w:t>
            </w:r>
          </w:p>
        </w:tc>
        <w:tc>
          <w:tcPr>
            <w:tcW w:type="dxa" w:w="1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Razão social e CNPJ do operador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A plataforma trata dados pessoais de terceiros. Sem pessoa jurídica responsável não há a quem imputar a responsabilidade da LGPD, nem com quem contratar fornecedor.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Abertura ou adequação do objeto social. O CNAE precisa cobrir a atividade.</w:t>
            </w:r>
          </w:p>
        </w:tc>
        <w:tc>
          <w:tcPr>
            <w:tcW w:type="dxa" w:w="223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Você decide.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Contador e Junta Comercial do estado.</w:t>
            </w:r>
          </w:p>
        </w:tc>
      </w:tr>
      <w:tr>
        <w:tc>
          <w:tcPr>
            <w:tcW w:type="dxa" w:w="52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B2</w:t>
            </w:r>
          </w:p>
        </w:tc>
        <w:tc>
          <w:tcPr>
            <w:tcW w:type="dxa" w:w="195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Encarregado de dados (DPO)</w:t>
            </w:r>
          </w:p>
        </w:tc>
        <w:tc>
          <w:tcPr>
            <w:tcW w:type="dxa" w:w="25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LGPD, art. 41: o controlador DEVE indicar encarregado, e a identidade dele precisa ser pública. Sem isso, a Política de Privacidade não pode ser publicada de verdade.</w:t>
            </w:r>
          </w:p>
        </w:tc>
        <w:tc>
          <w:tcPr>
            <w:tcW w:type="dxa" w:w="27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Nomear a pessoa (pode ser interna ou terceirizada) e publicar o canal de contato na política.</w:t>
            </w:r>
          </w:p>
        </w:tc>
        <w:tc>
          <w:tcPr>
            <w:tcW w:type="dxa" w:w="2236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Você nomeia.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Advogado especializado em proteção de dados, ou DPO como serviço.</w:t>
            </w:r>
          </w:p>
        </w:tc>
      </w:tr>
      <w:tr>
        <w:tc>
          <w:tcPr>
            <w:tcW w:type="dxa" w:w="5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B3</w:t>
            </w:r>
          </w:p>
        </w:tc>
        <w:tc>
          <w:tcPr>
            <w:tcW w:type="dxa" w:w="1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Revisão jurídica das 11 minutas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As 11 estão em RASCUNHO e nenhuma está aprovada. O produto embarca a camada jurídica DESLIGADA de propósito. Sem aprovação, não há base contratual para nada.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Advogado revisa cada minuta e aprova pela própria plataforma (duas aprovações exigidas). Lista completa na seção seguinte.</w:t>
            </w:r>
          </w:p>
        </w:tc>
        <w:tc>
          <w:tcPr>
            <w:tcW w:type="dxa" w:w="223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Você contrata.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Advogado com prática em contratos digitais, SaaS e terceiro setor.</w:t>
            </w:r>
          </w:p>
        </w:tc>
      </w:tr>
      <w:tr>
        <w:tc>
          <w:tcPr>
            <w:tcW w:type="dxa" w:w="52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B4</w:t>
            </w:r>
          </w:p>
        </w:tc>
        <w:tc>
          <w:tcPr>
            <w:tcW w:type="dxa" w:w="195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Termos de Uso e Política de Privacidade publicados</w:t>
            </w:r>
          </w:p>
        </w:tc>
        <w:tc>
          <w:tcPr>
            <w:tcW w:type="dxa" w:w="25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São as duas únicas minutas com aceite OBRIGATÓRIO do usuário. Sem elas aprovadas, o cadastro não tem respaldo e o tratamento de dados não tem base legal declarada.</w:t>
            </w:r>
          </w:p>
        </w:tc>
        <w:tc>
          <w:tcPr>
            <w:tcW w:type="dxa" w:w="27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Derivam de B3. Precisam estar públicas em URL estável antes do primeiro cadastro real.</w:t>
            </w:r>
          </w:p>
        </w:tc>
        <w:tc>
          <w:tcPr>
            <w:tcW w:type="dxa" w:w="2236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Advogado redige e aprova; você publica.</w:t>
            </w:r>
          </w:p>
        </w:tc>
      </w:tr>
      <w:tr>
        <w:tc>
          <w:tcPr>
            <w:tcW w:type="dxa" w:w="5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B5</w:t>
            </w:r>
          </w:p>
        </w:tc>
        <w:tc>
          <w:tcPr>
            <w:tcW w:type="dxa" w:w="1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Bucket de objeto privado (S3 ou compatível)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Sem ele, STORAGE_PROVIDER fica em 'local' e os documentos enviados ficam no disco do contêiner — perdidos no primeiro redeploy.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Criar bucket PRIVADO (sem acesso público), com criptografia e versionamento. O dump do PostgreSQL NÃO contém os arquivos.</w:t>
            </w:r>
          </w:p>
        </w:tc>
        <w:tc>
          <w:tcPr>
            <w:tcW w:type="dxa" w:w="223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Você contrata; quem operar configura.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Provedor de nuvem.</w:t>
            </w:r>
          </w:p>
        </w:tc>
      </w:tr>
      <w:tr>
        <w:tc>
          <w:tcPr>
            <w:tcW w:type="dxa" w:w="52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B6</w:t>
            </w:r>
          </w:p>
        </w:tc>
        <w:tc>
          <w:tcPr>
            <w:tcW w:type="dxa" w:w="195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Antivírus de upload (ClamAV)</w:t>
            </w:r>
          </w:p>
        </w:tc>
        <w:tc>
          <w:tcPr>
            <w:tcW w:type="dxa" w:w="25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Sem ele, ANTIVIRUS_PROVIDER fica em 'none'. O produto então BLOQUEIA o download de arquivo não escaneado (ALLOW_UNSCANNED_DOWNLOADS=false em produção) — o cofre aceita arquivo e não o devolve.</w:t>
            </w:r>
          </w:p>
        </w:tc>
        <w:tc>
          <w:tcPr>
            <w:tcW w:type="dxa" w:w="27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Subir uma instância de clamd alcançável pela aplicação, e apontar CLAMD_HOST.</w:t>
            </w:r>
          </w:p>
        </w:tc>
        <w:tc>
          <w:tcPr>
            <w:tcW w:type="dxa" w:w="2236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Quem operar a infraestrutura.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Software livre; o custo é de execução.</w:t>
            </w:r>
          </w:p>
        </w:tc>
      </w:tr>
      <w:tr>
        <w:tc>
          <w:tcPr>
            <w:tcW w:type="dxa" w:w="5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B7</w:t>
            </w:r>
          </w:p>
        </w:tc>
        <w:tc>
          <w:tcPr>
            <w:tcW w:type="dxa" w:w="1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Política de retenção de dados aprovada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O documento técnico existe (DATA_RETENTION.md, gerado do banco), mas os PRAZOS são decisão jurídica, não técnica.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Advogado e DPO revisam os prazos por tabela e confirmam o embasamento legal de cada guarda.</w:t>
            </w:r>
          </w:p>
        </w:tc>
        <w:tc>
          <w:tcPr>
            <w:tcW w:type="dxa" w:w="223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DPO e advogado.</w:t>
            </w:r>
          </w:p>
        </w:tc>
      </w:tr>
      <w:tr>
        <w:tc>
          <w:tcPr>
            <w:tcW w:type="dxa" w:w="52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B8</w:t>
            </w:r>
          </w:p>
        </w:tc>
        <w:tc>
          <w:tcPr>
            <w:tcW w:type="dxa" w:w="195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Canal de resposta a incidente (ANPD)</w:t>
            </w:r>
          </w:p>
        </w:tc>
        <w:tc>
          <w:tcPr>
            <w:tcW w:type="dxa" w:w="25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LGPD exige comunicação de incidente de segurança à ANPD e aos titulares. Sem canal e sem responsável definido, o prazo passa.</w:t>
            </w:r>
          </w:p>
        </w:tc>
        <w:tc>
          <w:tcPr>
            <w:tcW w:type="dxa" w:w="27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Definir quem decide, em quanto tempo, e por qual canal se comunica. Deixar escrito.</w:t>
            </w:r>
          </w:p>
        </w:tc>
        <w:tc>
          <w:tcPr>
            <w:tcW w:type="dxa" w:w="2236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DPO, com o advogado.</w:t>
            </w:r>
          </w:p>
        </w:tc>
      </w:tr>
      <w:tr>
        <w:tc>
          <w:tcPr>
            <w:tcW w:type="dxa" w:w="5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B9</w:t>
            </w:r>
          </w:p>
        </w:tc>
        <w:tc>
          <w:tcPr>
            <w:tcW w:type="dxa" w:w="1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Teste de intrusão (pentest) independente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Nenhum teste automatizado substitui. O release declara explicitamente que não houve. Sem ele, não há como afirmar postura de segurança a um financiador ou a um órgão público.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Contratar empresa ou profissional independente. Pedir escopo de aplicação web autenticada e multi-inquilino (multi-tenant).</w:t>
            </w:r>
          </w:p>
        </w:tc>
        <w:tc>
          <w:tcPr>
            <w:tcW w:type="dxa" w:w="223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Você contrata.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Empresa de segurança ofensiva.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</w:rPr>
        <w:t xml:space="preserve">C. Bloqueia cobrar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</w:rPr>
        <w:t xml:space="preserve"/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A plataforma é NÃO CUSTODIAL por decisão de arquitetura: ela calcula, instrui e concilia, mas o dinheiro não passa por ela. Ainda assim, cobrar exige o que está abaixo.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950"/>
        <w:gridCol w:w="2500"/>
        <w:gridCol w:w="2700"/>
        <w:gridCol w:w="2236"/>
      </w:tblGrid>
      <w:tr>
        <w:trPr>
          <w:tblHeader/>
        </w:trPr>
        <w:tc>
          <w:tcPr>
            <w:tcW w:type="dxa" w:w="520"/>
            <w:shd w:fill="2F3E4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1950"/>
            <w:shd w:fill="2F3E4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O que é</w:t>
            </w:r>
          </w:p>
        </w:tc>
        <w:tc>
          <w:tcPr>
            <w:tcW w:type="dxa" w:w="2500"/>
            <w:shd w:fill="2F3E4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Por que é necessário (o que quebra sem)</w:t>
            </w:r>
          </w:p>
        </w:tc>
        <w:tc>
          <w:tcPr>
            <w:tcW w:type="dxa" w:w="2700"/>
            <w:shd w:fill="2F3E4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Como conseguir</w:t>
            </w:r>
          </w:p>
        </w:tc>
        <w:tc>
          <w:tcPr>
            <w:tcW w:type="dxa" w:w="2236"/>
            <w:shd w:fill="2F3E4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Quem providencia / a quem procurar</w:t>
            </w:r>
          </w:p>
        </w:tc>
      </w:tr>
      <w:tr>
        <w:tc>
          <w:tcPr>
            <w:tcW w:type="dxa" w:w="5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C1</w:t>
            </w:r>
          </w:p>
        </w:tc>
        <w:tc>
          <w:tcPr>
            <w:tcW w:type="dxa" w:w="1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Conta de pagamento homologada (Stripe ou outro)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Sem ela, BILLING_PROVIDER fica em 'none' e NENHUMA cobrança real é possível. O produto é não-custodial por decisão de arquitetura: ele CALCULA, INSTRUI e CONCILIA, mas o dinheiro não passa por ele.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Abrir conta, concluir o KYC do fornecedor, obter as chaves de sandbox, homologar, e só então as de produção.</w:t>
            </w:r>
          </w:p>
        </w:tc>
        <w:tc>
          <w:tcPr>
            <w:tcW w:type="dxa" w:w="223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Você abre a conta.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Fornecedor de pagamento.</w:t>
            </w:r>
          </w:p>
        </w:tc>
      </w:tr>
      <w:tr>
        <w:tc>
          <w:tcPr>
            <w:tcW w:type="dxa" w:w="52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C2</w:t>
            </w:r>
          </w:p>
        </w:tc>
        <w:tc>
          <w:tcPr>
            <w:tcW w:type="dxa" w:w="195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Preços dos planos</w:t>
            </w:r>
          </w:p>
        </w:tc>
        <w:tc>
          <w:tcPr>
            <w:tcW w:type="dxa" w:w="25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Há 12 planos cadastrados e NENHUMA regra de monetização ativa. O produto não inventa preço — por regra do projeto.</w:t>
            </w:r>
          </w:p>
        </w:tc>
        <w:tc>
          <w:tcPr>
            <w:tcW w:type="dxa" w:w="27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Decidir valor, periodicidade e o que cada plano inclui. Registrar pela própria plataforma, com versionamento de preço.</w:t>
            </w:r>
          </w:p>
        </w:tc>
        <w:tc>
          <w:tcPr>
            <w:tcW w:type="dxa" w:w="2236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Você decide.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Apoio de contador e tributarista para a carga tributária.</w:t>
            </w:r>
          </w:p>
        </w:tc>
      </w:tr>
      <w:tr>
        <w:tc>
          <w:tcPr>
            <w:tcW w:type="dxa" w:w="5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C3</w:t>
            </w:r>
          </w:p>
        </w:tc>
        <w:tc>
          <w:tcPr>
            <w:tcW w:type="dxa" w:w="1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Validação das regras fiscais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Há 5 regras fiscais cadastradas e 0 cartões jurídicos verdes. Emitir cobrança com regra fiscal errada gera passivo.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Tributarista revisa cada regra (ISS, retenções, município de incidência) e confirma o enquadramento do operador.</w:t>
            </w:r>
          </w:p>
        </w:tc>
        <w:tc>
          <w:tcPr>
            <w:tcW w:type="dxa" w:w="223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Você contrata.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Tributarista / contador.</w:t>
            </w:r>
          </w:p>
        </w:tc>
      </w:tr>
      <w:tr>
        <w:tc>
          <w:tcPr>
            <w:tcW w:type="dxa" w:w="52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C4</w:t>
            </w:r>
          </w:p>
        </w:tc>
        <w:tc>
          <w:tcPr>
            <w:tcW w:type="dxa" w:w="195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Emissão de nota fiscal</w:t>
            </w:r>
          </w:p>
        </w:tc>
        <w:tc>
          <w:tcPr>
            <w:tcW w:type="dxa" w:w="25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Cobrar sem emitir nota não é uma opção. O produto NÃO tem provedor fiscal homologado e é proibido simular um.</w:t>
            </w:r>
          </w:p>
        </w:tc>
        <w:tc>
          <w:tcPr>
            <w:tcW w:type="dxa" w:w="27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Depende do município do operador: credenciamento na prefeitura e, em geral, um provedor de emissão.</w:t>
            </w:r>
          </w:p>
        </w:tc>
        <w:tc>
          <w:tcPr>
            <w:tcW w:type="dxa" w:w="2236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Contador conduz.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Prefeitura do município-sede e provedor de NFS-e.</w:t>
            </w:r>
          </w:p>
        </w:tc>
      </w:tr>
      <w:tr>
        <w:tc>
          <w:tcPr>
            <w:tcW w:type="dxa" w:w="5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C5</w:t>
            </w:r>
          </w:p>
        </w:tc>
        <w:tc>
          <w:tcPr>
            <w:tcW w:type="dxa" w:w="1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Contratos de assinatura, pagamento, reembolso e cancelamento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São 4 das 11 minutas em rascunho. Sem elas, cobrar é cobrar sem contrato.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Derivam de B3, mas só se tornam necessárias quando houver cobrança.</w:t>
            </w:r>
          </w:p>
        </w:tc>
        <w:tc>
          <w:tcPr>
            <w:tcW w:type="dxa" w:w="223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Advogado.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</w:rPr>
        <w:t xml:space="preserve">D. Bloqueia um recurso específico (opcional)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</w:rPr>
        <w:t xml:space="preserve"/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Nenhum destes impede publicar nem usar a plataforma. Cada um habilita um recurso que, sem ele, fica honestamente indisponível em vez de fingir que funciona.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950"/>
        <w:gridCol w:w="2500"/>
        <w:gridCol w:w="2700"/>
        <w:gridCol w:w="2236"/>
      </w:tblGrid>
      <w:tr>
        <w:trPr>
          <w:tblHeader/>
        </w:trPr>
        <w:tc>
          <w:tcPr>
            <w:tcW w:type="dxa" w:w="520"/>
            <w:shd w:fill="2F3E4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1950"/>
            <w:shd w:fill="2F3E4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O que é</w:t>
            </w:r>
          </w:p>
        </w:tc>
        <w:tc>
          <w:tcPr>
            <w:tcW w:type="dxa" w:w="2500"/>
            <w:shd w:fill="2F3E4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Por que é necessário (o que quebra sem)</w:t>
            </w:r>
          </w:p>
        </w:tc>
        <w:tc>
          <w:tcPr>
            <w:tcW w:type="dxa" w:w="2700"/>
            <w:shd w:fill="2F3E4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Como conseguir</w:t>
            </w:r>
          </w:p>
        </w:tc>
        <w:tc>
          <w:tcPr>
            <w:tcW w:type="dxa" w:w="2236"/>
            <w:shd w:fill="2F3E4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Quem providencia / a quem procurar</w:t>
            </w:r>
          </w:p>
        </w:tc>
      </w:tr>
      <w:tr>
        <w:tc>
          <w:tcPr>
            <w:tcW w:type="dxa" w:w="5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D1</w:t>
            </w:r>
          </w:p>
        </w:tc>
        <w:tc>
          <w:tcPr>
            <w:tcW w:type="dxa" w:w="1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Provedor de modelo de linguagem (IA)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Sem ele, AI_PROVIDER fica em 'local'. A IA do produto funciona, com o modelo local; os recursos que dependem de modelo externo ficam indisponíveis.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Contratar o provedor, obter a chave, definir AI_MODEL. A governança de IA do produto (orçamento, limites, prompts versionados) já está implementada.</w:t>
            </w:r>
          </w:p>
        </w:tc>
        <w:tc>
          <w:tcPr>
            <w:tcW w:type="dxa" w:w="223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Você contrata.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Provedor de modelo.</w:t>
            </w:r>
          </w:p>
        </w:tc>
      </w:tr>
      <w:tr>
        <w:tc>
          <w:tcPr>
            <w:tcW w:type="dxa" w:w="52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D2</w:t>
            </w:r>
          </w:p>
        </w:tc>
        <w:tc>
          <w:tcPr>
            <w:tcW w:type="dxa" w:w="195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Identidade corporativa (OIDC / SSO)</w:t>
            </w:r>
          </w:p>
        </w:tc>
        <w:tc>
          <w:tcPr>
            <w:tcW w:type="dxa" w:w="25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Opcional. Sem isso, o login corporativo (Google Workspace, Microsoft Entra, gov.br) não funciona; o login por e-mail e senha funciona normalmente.</w:t>
            </w:r>
          </w:p>
        </w:tc>
        <w:tc>
          <w:tcPr>
            <w:tcW w:type="dxa" w:w="27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Registrar a aplicação no provedor de identidade e cadastrar a conexão pela própria plataforma.</w:t>
            </w:r>
          </w:p>
        </w:tc>
        <w:tc>
          <w:tcPr>
            <w:tcW w:type="dxa" w:w="2236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Cada organização cliente faz a sua.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Administrador do diretório de cada cliente.</w:t>
            </w:r>
          </w:p>
        </w:tc>
      </w:tr>
      <w:tr>
        <w:tc>
          <w:tcPr>
            <w:tcW w:type="dxa" w:w="5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D3</w:t>
            </w:r>
          </w:p>
        </w:tc>
        <w:tc>
          <w:tcPr>
            <w:tcW w:type="dxa" w:w="1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Certificado ICP-Brasil (assinatura QUALIFICADA)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Está declarado como INDISPONÍVEL no catálogo, e a plataforma RECUSA assinar por esse método. Hoje só existe a assinatura AVANÇADA própria. A diferença é jurídica e importa.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Contratar certificado A1 ou A3 em Autoridade Certificadora credenciada, configurar o provedor e rodar a bateria de homologação.</w:t>
            </w:r>
          </w:p>
        </w:tc>
        <w:tc>
          <w:tcPr>
            <w:tcW w:type="dxa" w:w="223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Você contrata.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AC credenciada na ICP-Brasil (lista pública no ITI).</w:t>
            </w:r>
          </w:p>
        </w:tc>
      </w:tr>
      <w:tr>
        <w:tc>
          <w:tcPr>
            <w:tcW w:type="dxa" w:w="52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D4</w:t>
            </w:r>
          </w:p>
        </w:tc>
        <w:tc>
          <w:tcPr>
            <w:tcW w:type="dxa" w:w="195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Credenciamento gov.br (assinatura avançada)</w:t>
            </w:r>
          </w:p>
        </w:tc>
        <w:tc>
          <w:tcPr>
            <w:tcW w:type="dxa" w:w="25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Também INDISPONÍVEL. Atenção: o nível jurídico do gov.br é AVANÇADO, não qualificado — não substitui a ICP-Brasil.</w:t>
            </w:r>
          </w:p>
        </w:tc>
        <w:tc>
          <w:tcPr>
            <w:tcW w:type="dxa" w:w="27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Obter credenciamento no Conecta gov.br, com client_id e escopos aprovados.</w:t>
            </w:r>
          </w:p>
        </w:tc>
        <w:tc>
          <w:tcPr>
            <w:tcW w:type="dxa" w:w="2236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Você solicita.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Secretaria de Governo Digital / gov.br.</w:t>
            </w:r>
          </w:p>
        </w:tc>
      </w:tr>
      <w:tr>
        <w:tc>
          <w:tcPr>
            <w:tcW w:type="dxa" w:w="5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D5</w:t>
            </w:r>
          </w:p>
        </w:tc>
        <w:tc>
          <w:tcPr>
            <w:tcW w:type="dxa" w:w="1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Consulta de CNPJ e Portal da Transparência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Sem a chave, a verificação cadastral automática fica como 'não configurado' — e o produto diz isso honestamente, em vez de fingir que verificou.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Obter chave de API do serviço escolhido.</w:t>
            </w:r>
          </w:p>
        </w:tc>
        <w:tc>
          <w:tcPr>
            <w:tcW w:type="dxa" w:w="223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Você obtém.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Portal da Transparência (chave gratuita) e o provedor de consulta de CNPJ.</w:t>
            </w:r>
          </w:p>
        </w:tc>
      </w:tr>
      <w:tr>
        <w:tc>
          <w:tcPr>
            <w:tcW w:type="dxa" w:w="52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D6</w:t>
            </w:r>
          </w:p>
        </w:tc>
        <w:tc>
          <w:tcPr>
            <w:tcW w:type="dxa" w:w="195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ERP das organizações (TOTVS, Senior, REST genérico, SFTP)</w:t>
            </w:r>
          </w:p>
        </w:tc>
        <w:tc>
          <w:tcPr>
            <w:tcW w:type="dxa" w:w="25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Opcional e por cliente. A credencial é cadastrada pela própria organização, não pelo operador da plataforma.</w:t>
            </w:r>
          </w:p>
        </w:tc>
        <w:tc>
          <w:tcPr>
            <w:tcW w:type="dxa" w:w="27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Cada organização cliente cadastra a conexão dela no Integration Hub.</w:t>
            </w:r>
          </w:p>
        </w:tc>
        <w:tc>
          <w:tcPr>
            <w:tcW w:type="dxa" w:w="2236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Cada organização cliente.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O suporte do ERP de cada uma.</w:t>
            </w:r>
          </w:p>
        </w:tc>
      </w:tr>
      <w:tr>
        <w:tc>
          <w:tcPr>
            <w:tcW w:type="dxa" w:w="5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D7</w:t>
            </w:r>
          </w:p>
        </w:tc>
        <w:tc>
          <w:tcPr>
            <w:tcW w:type="dxa" w:w="1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Marca (INPI)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Não bloqueia tecnicamente. Bloqueia comercialmente: usar um nome que já é de outro é risco que cresce com o sucesso.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Busca de anterioridade e pedido de registro na classe correspondente.</w:t>
            </w:r>
          </w:p>
        </w:tc>
        <w:tc>
          <w:tcPr>
            <w:tcW w:type="dxa" w:w="223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Você.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INPI, com apoio de advogado de propriedade industrial.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</w:rPr>
        <w:t xml:space="preserve">E. Acessibilidade: as seis verificações pendentes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</w:rPr>
        <w:t xml:space="preserve"/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Treze verificações de acessibilidade já rodam no navegador, incluindo contraste calculado sobre o estilo aplicado, navegação só por teclado e tamanho de alvo de toque. As seis abaixo faltam, e sem elas NÃO se afirma conformidade WCAG 2.2 AA plena. Duas são automáticas; quatro exigem uma pessoa.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950"/>
        <w:gridCol w:w="2500"/>
        <w:gridCol w:w="2700"/>
        <w:gridCol w:w="2236"/>
      </w:tblGrid>
      <w:tr>
        <w:trPr>
          <w:tblHeader/>
        </w:trPr>
        <w:tc>
          <w:tcPr>
            <w:tcW w:type="dxa" w:w="520"/>
            <w:shd w:fill="2F3E4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1950"/>
            <w:shd w:fill="2F3E4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O que é</w:t>
            </w:r>
          </w:p>
        </w:tc>
        <w:tc>
          <w:tcPr>
            <w:tcW w:type="dxa" w:w="2500"/>
            <w:shd w:fill="2F3E4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Por que é necessário (o que quebra sem)</w:t>
            </w:r>
          </w:p>
        </w:tc>
        <w:tc>
          <w:tcPr>
            <w:tcW w:type="dxa" w:w="2700"/>
            <w:shd w:fill="2F3E4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Como conseguir</w:t>
            </w:r>
          </w:p>
        </w:tc>
        <w:tc>
          <w:tcPr>
            <w:tcW w:type="dxa" w:w="2236"/>
            <w:shd w:fill="2F3E4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Quem providencia / a quem procurar</w:t>
            </w:r>
          </w:p>
        </w:tc>
      </w:tr>
      <w:tr>
        <w:tc>
          <w:tcPr>
            <w:tcW w:type="dxa" w:w="5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E1</w:t>
            </w:r>
          </w:p>
        </w:tc>
        <w:tc>
          <w:tcPr>
            <w:tcW w:type="dxa" w:w="1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axe-core (auditoria automatizada)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A auditoria atual cobre 13 verificações no navegador e um subconjunto do que o axe checa. Sem ele, não se afirma conformidade WCAG 2.2 AA plena.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AUTOMÁTICO: resolve-se sozinho em qualquer ambiente com acesso ao registry npm. Não depende de pessoa.</w:t>
            </w:r>
          </w:p>
        </w:tc>
        <w:tc>
          <w:tcPr>
            <w:tcW w:type="dxa" w:w="223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Quem rodar o CI.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Nenhum terceiro.</w:t>
            </w:r>
          </w:p>
        </w:tc>
      </w:tr>
      <w:tr>
        <w:tc>
          <w:tcPr>
            <w:tcW w:type="dxa" w:w="52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E2</w:t>
            </w:r>
          </w:p>
        </w:tc>
        <w:tc>
          <w:tcPr>
            <w:tcW w:type="dxa" w:w="195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Leitor de tela real (NVDA, VoiceOver ou Orca)</w:t>
            </w:r>
          </w:p>
        </w:tc>
        <w:tc>
          <w:tcPr>
            <w:tcW w:type="dxa" w:w="25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O que foi verificado é a ESTRUTURA que o leitor consome (nome acessível, marcos, aria-live) — não a experiência auditiva.</w:t>
            </w:r>
          </w:p>
        </w:tc>
        <w:tc>
          <w:tcPr>
            <w:tcW w:type="dxa" w:w="27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Pessoa operando o leitor nas telas principais. Idealmente, alguém que já use leitor no dia a dia.</w:t>
            </w:r>
          </w:p>
        </w:tc>
        <w:tc>
          <w:tcPr>
            <w:tcW w:type="dxa" w:w="2236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Pessoa.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Consultoria de acessibilidade, ou pessoa com deficiência visual contratada para o teste.</w:t>
            </w:r>
          </w:p>
        </w:tc>
      </w:tr>
      <w:tr>
        <w:tc>
          <w:tcPr>
            <w:tcW w:type="dxa" w:w="5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E3</w:t>
            </w:r>
          </w:p>
        </w:tc>
        <w:tc>
          <w:tcPr>
            <w:tcW w:type="dxa" w:w="1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Segundo navegador (Firefox ou WebKit)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Só o Chromium foi exercitado.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AUTOMÁTICO: instalar o segundo navegador no CI.</w:t>
            </w:r>
          </w:p>
        </w:tc>
        <w:tc>
          <w:tcPr>
            <w:tcW w:type="dxa" w:w="223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Quem rodar o CI.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Nenhum terceiro.</w:t>
            </w:r>
          </w:p>
        </w:tc>
      </w:tr>
      <w:tr>
        <w:tc>
          <w:tcPr>
            <w:tcW w:type="dxa" w:w="52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E4</w:t>
            </w:r>
          </w:p>
        </w:tc>
        <w:tc>
          <w:tcPr>
            <w:tcW w:type="dxa" w:w="195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Zoom de texto a 200%</w:t>
            </w:r>
          </w:p>
        </w:tc>
        <w:tc>
          <w:tcPr>
            <w:tcW w:type="dxa" w:w="25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O layout usa unidades relativas, mas isso não é prova. Critério WCAG 1.4.4.</w:t>
            </w:r>
          </w:p>
        </w:tc>
        <w:tc>
          <w:tcPr>
            <w:tcW w:type="dxa" w:w="27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Verificação manual nas telas principais.</w:t>
            </w:r>
          </w:p>
        </w:tc>
        <w:tc>
          <w:tcPr>
            <w:tcW w:type="dxa" w:w="2236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Pessoa (pode ser interna).</w:t>
            </w:r>
          </w:p>
        </w:tc>
      </w:tr>
      <w:tr>
        <w:tc>
          <w:tcPr>
            <w:tcW w:type="dxa" w:w="5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E5</w:t>
            </w:r>
          </w:p>
        </w:tc>
        <w:tc>
          <w:tcPr>
            <w:tcW w:type="dxa" w:w="1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Simulação de daltonismo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Nenhuma informação da interface depende SÓ de cor (as situações têm rótulo textual), mas não houve verificação dedicada.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Verificação manual com simulador.</w:t>
            </w:r>
          </w:p>
        </w:tc>
        <w:tc>
          <w:tcPr>
            <w:tcW w:type="dxa" w:w="223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Pessoa (pode ser interna).</w:t>
            </w:r>
          </w:p>
        </w:tc>
      </w:tr>
      <w:tr>
        <w:tc>
          <w:tcPr>
            <w:tcW w:type="dxa" w:w="52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E6</w:t>
            </w:r>
          </w:p>
        </w:tc>
        <w:tc>
          <w:tcPr>
            <w:tcW w:type="dxa" w:w="195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Navegação por voz</w:t>
            </w:r>
          </w:p>
        </w:tc>
        <w:tc>
          <w:tcPr>
            <w:tcW w:type="dxa" w:w="25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Não exercitada.</w:t>
            </w:r>
          </w:p>
        </w:tc>
        <w:tc>
          <w:tcPr>
            <w:tcW w:type="dxa" w:w="27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Verificação manual.</w:t>
            </w:r>
          </w:p>
        </w:tc>
        <w:tc>
          <w:tcPr>
            <w:tcW w:type="dxa" w:w="2236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Pessoa (pode ser interna).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</w:rPr>
        <w:t xml:space="preserve">F. Lojas de aplicativo (só se for publicar o app)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</w:rPr>
        <w:t xml:space="preserve"/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A plataforma web funciona sem nada disto. Esta seção só se aplica se houver decisão de publicar o aplicativo móvel.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950"/>
        <w:gridCol w:w="2500"/>
        <w:gridCol w:w="2700"/>
        <w:gridCol w:w="2236"/>
      </w:tblGrid>
      <w:tr>
        <w:trPr>
          <w:tblHeader/>
        </w:trPr>
        <w:tc>
          <w:tcPr>
            <w:tcW w:type="dxa" w:w="520"/>
            <w:shd w:fill="2F3E4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1950"/>
            <w:shd w:fill="2F3E4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O que é</w:t>
            </w:r>
          </w:p>
        </w:tc>
        <w:tc>
          <w:tcPr>
            <w:tcW w:type="dxa" w:w="2500"/>
            <w:shd w:fill="2F3E4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Por que é necessário (o que quebra sem)</w:t>
            </w:r>
          </w:p>
        </w:tc>
        <w:tc>
          <w:tcPr>
            <w:tcW w:type="dxa" w:w="2700"/>
            <w:shd w:fill="2F3E4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Como conseguir</w:t>
            </w:r>
          </w:p>
        </w:tc>
        <w:tc>
          <w:tcPr>
            <w:tcW w:type="dxa" w:w="2236"/>
            <w:shd w:fill="2F3E4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Quem providencia / a quem procurar</w:t>
            </w:r>
          </w:p>
        </w:tc>
      </w:tr>
      <w:tr>
        <w:tc>
          <w:tcPr>
            <w:tcW w:type="dxa" w:w="5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F1</w:t>
            </w:r>
          </w:p>
        </w:tc>
        <w:tc>
          <w:tcPr>
            <w:tcW w:type="dxa" w:w="1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Google Play Console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Só se for publicar o aplicativo Android. A web funciona sem isso.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Conta no Play Console (taxa única), verificação de identidade, keystore de upload guardado FORA do git, ficha da loja, Data safety, classificação de conteúdo e teste fechado (exigido a contas novas).</w:t>
            </w:r>
          </w:p>
        </w:tc>
        <w:tc>
          <w:tcPr>
            <w:tcW w:type="dxa" w:w="223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Você.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Google Play Console.</w:t>
            </w:r>
          </w:p>
        </w:tc>
      </w:tr>
      <w:tr>
        <w:tc>
          <w:tcPr>
            <w:tcW w:type="dxa" w:w="52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F2</w:t>
            </w:r>
          </w:p>
        </w:tc>
        <w:tc>
          <w:tcPr>
            <w:tcW w:type="dxa" w:w="195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Apple Developer Program</w:t>
            </w:r>
          </w:p>
        </w:tc>
        <w:tc>
          <w:tcPr>
            <w:tcW w:type="dxa" w:w="25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Só se for publicar no iOS. Exige ainda um macOS com Xcode — não há como contornar.</w:t>
            </w:r>
          </w:p>
        </w:tc>
        <w:tc>
          <w:tcPr>
            <w:tcW w:type="dxa" w:w="27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Programa de desenvolvedor (anuidade), Bundle ID, certificados, App Privacy, conta de demonstração para a revisão. Decidir se a assinatura será web-only ou via compra no app.</w:t>
            </w:r>
          </w:p>
        </w:tc>
        <w:tc>
          <w:tcPr>
            <w:tcW w:type="dxa" w:w="2236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Você.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Apple Developer Program.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</w:rPr>
        <w:t xml:space="preserve">G. Revisão humana de conteúdo e operação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</w:rPr>
        <w:t xml:space="preserve"/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Itens que não são de infraestrutura nem de contrato: são de julgamento profissional sobre o conteúdo que a plataforma entrega.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950"/>
        <w:gridCol w:w="2500"/>
        <w:gridCol w:w="2700"/>
        <w:gridCol w:w="2236"/>
      </w:tblGrid>
      <w:tr>
        <w:trPr>
          <w:tblHeader/>
        </w:trPr>
        <w:tc>
          <w:tcPr>
            <w:tcW w:type="dxa" w:w="520"/>
            <w:shd w:fill="2F3E4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1950"/>
            <w:shd w:fill="2F3E4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O que é</w:t>
            </w:r>
          </w:p>
        </w:tc>
        <w:tc>
          <w:tcPr>
            <w:tcW w:type="dxa" w:w="2500"/>
            <w:shd w:fill="2F3E4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Por que é necessário (o que quebra sem)</w:t>
            </w:r>
          </w:p>
        </w:tc>
        <w:tc>
          <w:tcPr>
            <w:tcW w:type="dxa" w:w="2700"/>
            <w:shd w:fill="2F3E4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Como conseguir</w:t>
            </w:r>
          </w:p>
        </w:tc>
        <w:tc>
          <w:tcPr>
            <w:tcW w:type="dxa" w:w="2236"/>
            <w:shd w:fill="2F3E4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Quem providencia / a quem procurar</w:t>
            </w:r>
          </w:p>
        </w:tc>
      </w:tr>
      <w:tr>
        <w:tc>
          <w:tcPr>
            <w:tcW w:type="dxa" w:w="5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G1</w:t>
            </w:r>
          </w:p>
        </w:tc>
        <w:tc>
          <w:tcPr>
            <w:tcW w:type="dxa" w:w="1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Validação profissional de 24 itens do catálogo institucional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De 66 itens, 24 estão marcados pelo próprio produto como 'precisa de validação profissional'. Publicar sem isso é afirmar exigência legal sem fonte conferida.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Revisão item a item, com fonte consultada. O produto exige DOIS aprovadores para publicar.</w:t>
            </w:r>
          </w:p>
        </w:tc>
        <w:tc>
          <w:tcPr>
            <w:tcW w:type="dxa" w:w="223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Advogado, na área correspondente a cada item.</w:t>
            </w:r>
          </w:p>
        </w:tc>
      </w:tr>
      <w:tr>
        <w:tc>
          <w:tcPr>
            <w:tcW w:type="dxa" w:w="52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G2</w:t>
            </w:r>
          </w:p>
        </w:tc>
        <w:tc>
          <w:tcPr>
            <w:tcW w:type="dxa" w:w="195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Revisão dos 5 modelos de documento publicados</w:t>
            </w:r>
          </w:p>
        </w:tc>
        <w:tc>
          <w:tcPr>
            <w:tcW w:type="dxa" w:w="25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Os modelos geram documentos que organizações vão usar de verdade.</w:t>
            </w:r>
          </w:p>
        </w:tc>
        <w:tc>
          <w:tcPr>
            <w:tcW w:type="dxa" w:w="27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Revisão jurídica de cada modelo antes do uso real.</w:t>
            </w:r>
          </w:p>
        </w:tc>
        <w:tc>
          <w:tcPr>
            <w:tcW w:type="dxa" w:w="2236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Advogado.</w:t>
            </w:r>
          </w:p>
        </w:tc>
      </w:tr>
      <w:tr>
        <w:tc>
          <w:tcPr>
            <w:tcW w:type="dxa" w:w="5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G3</w:t>
            </w:r>
          </w:p>
        </w:tc>
        <w:tc>
          <w:tcPr>
            <w:tcW w:type="dxa" w:w="1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Equipe e SLA das filas de revisão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O produto tem filas de qualificação, documentos, denúncias e contestações. Fila sem gente é fila parada, e há prazos de direito de resposta envolvidos.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Definir quem atende cada fila, em quanto tempo, e o que acontece quando o prazo estoura.</w:t>
            </w:r>
          </w:p>
        </w:tc>
        <w:tc>
          <w:tcPr>
            <w:tcW w:type="dxa" w:w="223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Você define.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Equipe interna.</w:t>
            </w:r>
          </w:p>
        </w:tc>
      </w:tr>
      <w:tr>
        <w:tc>
          <w:tcPr>
            <w:tcW w:type="dxa" w:w="52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G4</w:t>
            </w:r>
          </w:p>
        </w:tc>
        <w:tc>
          <w:tcPr>
            <w:tcW w:type="dxa" w:w="195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Calibração do motor de compatibilidade com dados reais</w:t>
            </w:r>
          </w:p>
        </w:tc>
        <w:tc>
          <w:tcPr>
            <w:tcW w:type="dxa" w:w="25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Os pesos foram definidos por hipótese. Só dados reais dizem se o resultado é bom.</w:t>
            </w:r>
          </w:p>
        </w:tc>
        <w:tc>
          <w:tcPr>
            <w:tcW w:type="dxa" w:w="27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Depois de alguns meses de uso, revisar os pesos com base no que de fato deu certo.</w:t>
            </w:r>
          </w:p>
        </w:tc>
        <w:tc>
          <w:tcPr>
            <w:tcW w:type="dxa" w:w="2236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Equipe interna, com apoio de quem entender do domínio.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</w:rPr>
        <w:t xml:space="preserve">As 11 minutas jurídicas em rascunho</w:t>
      </w:r>
    </w:p>
    <w:p>
      <w:pPr>
        <w:spacing w:after="120" w:before="0"/>
      </w:pPr>
      <w:r>
        <w:rPr>
          <w:rFonts w:ascii="Calibri" w:cs="Calibri" w:eastAsia="Calibri" w:hAnsi="Calibri"/>
          <w:sz w:val="20"/>
          <w:szCs w:val="20"/>
        </w:rPr>
        <w:t xml:space="preserve">Nenhuma está aprovada. O produto embarca a camada jurídica DESLIGADA de propósito — não há regra de monetização ativa nem cartão jurídico verde. Cada minuta precisa de revisão e de DUAS aprovações pela própria plataforma.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As duas marcadas com aceite obrigatório são as que travam o cadastro de qualquer usuário real.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950"/>
        <w:gridCol w:w="2500"/>
        <w:gridCol w:w="2700"/>
        <w:gridCol w:w="2236"/>
      </w:tblGrid>
      <w:tr>
        <w:trPr>
          <w:tblHeader/>
        </w:trPr>
        <w:tc>
          <w:tcPr>
            <w:tcW w:type="dxa" w:w="520"/>
            <w:shd w:fill="2F3E4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1950"/>
            <w:shd w:fill="2F3E4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Minuta</w:t>
            </w:r>
          </w:p>
        </w:tc>
        <w:tc>
          <w:tcPr>
            <w:tcW w:type="dxa" w:w="2500"/>
            <w:shd w:fill="2F3E4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Aceite obrigatório do usuário</w:t>
            </w:r>
          </w:p>
        </w:tc>
        <w:tc>
          <w:tcPr>
            <w:tcW w:type="dxa" w:w="2700"/>
            <w:shd w:fill="2F3E4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Quando se torna necessária</w:t>
            </w:r>
          </w:p>
        </w:tc>
        <w:tc>
          <w:tcPr>
            <w:tcW w:type="dxa" w:w="2236"/>
            <w:shd w:fill="2F3E4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Quem aprova</w:t>
            </w:r>
          </w:p>
        </w:tc>
      </w:tr>
      <w:tr>
        <w:tc>
          <w:tcPr>
            <w:tcW w:type="dxa" w:w="5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1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Termos de Uso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SIM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Antes do primeiro cadastro real</w:t>
            </w:r>
          </w:p>
        </w:tc>
        <w:tc>
          <w:tcPr>
            <w:tcW w:type="dxa" w:w="223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Advogado</w:t>
            </w:r>
          </w:p>
        </w:tc>
      </w:tr>
      <w:tr>
        <w:tc>
          <w:tcPr>
            <w:tcW w:type="dxa" w:w="52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195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Política de Privacidade</w:t>
            </w:r>
          </w:p>
        </w:tc>
        <w:tc>
          <w:tcPr>
            <w:tcW w:type="dxa" w:w="25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SIM</w:t>
            </w:r>
          </w:p>
        </w:tc>
        <w:tc>
          <w:tcPr>
            <w:tcW w:type="dxa" w:w="27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Antes do primeiro dado pessoal</w:t>
            </w:r>
          </w:p>
        </w:tc>
        <w:tc>
          <w:tcPr>
            <w:tcW w:type="dxa" w:w="2236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Advogado + DPO</w:t>
            </w:r>
          </w:p>
        </w:tc>
      </w:tr>
      <w:tr>
        <w:tc>
          <w:tcPr>
            <w:tcW w:type="dxa" w:w="5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1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Política de Cookies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não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Antes da publicação web aberta</w:t>
            </w:r>
          </w:p>
        </w:tc>
        <w:tc>
          <w:tcPr>
            <w:tcW w:type="dxa" w:w="223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Advogado</w:t>
            </w:r>
          </w:p>
        </w:tc>
      </w:tr>
      <w:tr>
        <w:tc>
          <w:tcPr>
            <w:tcW w:type="dxa" w:w="52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195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Termos de Intermediação e Conexão</w:t>
            </w:r>
          </w:p>
        </w:tc>
        <w:tc>
          <w:tcPr>
            <w:tcW w:type="dxa" w:w="25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não</w:t>
            </w:r>
          </w:p>
        </w:tc>
        <w:tc>
          <w:tcPr>
            <w:tcW w:type="dxa" w:w="27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Quando houver conexão entre partes</w:t>
            </w:r>
          </w:p>
        </w:tc>
        <w:tc>
          <w:tcPr>
            <w:tcW w:type="dxa" w:w="2236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Advogado</w:t>
            </w:r>
          </w:p>
        </w:tc>
      </w:tr>
      <w:tr>
        <w:tc>
          <w:tcPr>
            <w:tcW w:type="dxa" w:w="5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5</w:t>
            </w:r>
          </w:p>
        </w:tc>
        <w:tc>
          <w:tcPr>
            <w:tcW w:type="dxa" w:w="1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Termos do Marketplace de Serviços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não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Quando o marketplace abrir</w:t>
            </w:r>
          </w:p>
        </w:tc>
        <w:tc>
          <w:tcPr>
            <w:tcW w:type="dxa" w:w="223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Advogado</w:t>
            </w:r>
          </w:p>
        </w:tc>
      </w:tr>
      <w:tr>
        <w:tc>
          <w:tcPr>
            <w:tcW w:type="dxa" w:w="52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6</w:t>
            </w:r>
          </w:p>
        </w:tc>
        <w:tc>
          <w:tcPr>
            <w:tcW w:type="dxa" w:w="195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Contrato de Assinatura (SaaS)</w:t>
            </w:r>
          </w:p>
        </w:tc>
        <w:tc>
          <w:tcPr>
            <w:tcW w:type="dxa" w:w="25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não</w:t>
            </w:r>
          </w:p>
        </w:tc>
        <w:tc>
          <w:tcPr>
            <w:tcW w:type="dxa" w:w="27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Quando houver cobrança</w:t>
            </w:r>
          </w:p>
        </w:tc>
        <w:tc>
          <w:tcPr>
            <w:tcW w:type="dxa" w:w="2236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Advogado</w:t>
            </w:r>
          </w:p>
        </w:tc>
      </w:tr>
      <w:tr>
        <w:tc>
          <w:tcPr>
            <w:tcW w:type="dxa" w:w="5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7</w:t>
            </w:r>
          </w:p>
        </w:tc>
        <w:tc>
          <w:tcPr>
            <w:tcW w:type="dxa" w:w="1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Contrato de Pagamento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não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Quando houver cobrança</w:t>
            </w:r>
          </w:p>
        </w:tc>
        <w:tc>
          <w:tcPr>
            <w:tcW w:type="dxa" w:w="223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Advogado</w:t>
            </w:r>
          </w:p>
        </w:tc>
      </w:tr>
      <w:tr>
        <w:tc>
          <w:tcPr>
            <w:tcW w:type="dxa" w:w="52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8</w:t>
            </w:r>
          </w:p>
        </w:tc>
        <w:tc>
          <w:tcPr>
            <w:tcW w:type="dxa" w:w="195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Política de Reembolso</w:t>
            </w:r>
          </w:p>
        </w:tc>
        <w:tc>
          <w:tcPr>
            <w:tcW w:type="dxa" w:w="25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não</w:t>
            </w:r>
          </w:p>
        </w:tc>
        <w:tc>
          <w:tcPr>
            <w:tcW w:type="dxa" w:w="27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Quando houver cobrança</w:t>
            </w:r>
          </w:p>
        </w:tc>
        <w:tc>
          <w:tcPr>
            <w:tcW w:type="dxa" w:w="2236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Advogado</w:t>
            </w:r>
          </w:p>
        </w:tc>
      </w:tr>
      <w:tr>
        <w:tc>
          <w:tcPr>
            <w:tcW w:type="dxa" w:w="5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9</w:t>
            </w:r>
          </w:p>
        </w:tc>
        <w:tc>
          <w:tcPr>
            <w:tcW w:type="dxa" w:w="1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Política de Cancelamento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não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Quando houver cobrança</w:t>
            </w:r>
          </w:p>
        </w:tc>
        <w:tc>
          <w:tcPr>
            <w:tcW w:type="dxa" w:w="223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Advogado</w:t>
            </w:r>
          </w:p>
        </w:tc>
      </w:tr>
      <w:tr>
        <w:tc>
          <w:tcPr>
            <w:tcW w:type="dxa" w:w="52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10</w:t>
            </w:r>
          </w:p>
        </w:tc>
        <w:tc>
          <w:tcPr>
            <w:tcW w:type="dxa" w:w="195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Contrato Institucional (B2B / ESG)</w:t>
            </w:r>
          </w:p>
        </w:tc>
        <w:tc>
          <w:tcPr>
            <w:tcW w:type="dxa" w:w="25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não</w:t>
            </w:r>
          </w:p>
        </w:tc>
        <w:tc>
          <w:tcPr>
            <w:tcW w:type="dxa" w:w="27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No primeiro contrato com empresa</w:t>
            </w:r>
          </w:p>
        </w:tc>
        <w:tc>
          <w:tcPr>
            <w:tcW w:type="dxa" w:w="2236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Advogado</w:t>
            </w:r>
          </w:p>
        </w:tc>
      </w:tr>
      <w:tr>
        <w:tc>
          <w:tcPr>
            <w:tcW w:type="dxa" w:w="5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11</w:t>
            </w:r>
          </w:p>
        </w:tc>
        <w:tc>
          <w:tcPr>
            <w:tcW w:type="dxa" w:w="1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Contrato com o Poder Público (B2G)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não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No primeiro contrato público</w:t>
            </w:r>
          </w:p>
        </w:tc>
        <w:tc>
          <w:tcPr>
            <w:tcW w:type="dxa" w:w="223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Advogado + procurador</w:t>
            </w:r>
          </w:p>
        </w:tc>
      </w:tr>
    </w:tbl>
    <w:p>
      <w:r>
        <w:br w:type="page"/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</w:rPr>
        <w:t xml:space="preserve">Quem procurar, por especialidade</w:t>
      </w:r>
    </w:p>
    <w:p>
      <w:pPr>
        <w:spacing w:after="120" w:before="0"/>
      </w:pPr>
      <w:r>
        <w:rPr>
          <w:rFonts w:ascii="Calibri" w:cs="Calibri" w:eastAsia="Calibri" w:hAnsi="Calibri"/>
          <w:sz w:val="20"/>
          <w:szCs w:val="20"/>
        </w:rPr>
        <w:t xml:space="preserve">Consolidação de todos os itens acima pelo profissional que os resolve, para facilitar a contratação.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950"/>
        <w:gridCol w:w="2500"/>
        <w:gridCol w:w="2700"/>
        <w:gridCol w:w="2236"/>
      </w:tblGrid>
      <w:tr>
        <w:trPr>
          <w:tblHeader/>
        </w:trPr>
        <w:tc>
          <w:tcPr>
            <w:tcW w:type="dxa" w:w="520"/>
            <w:shd w:fill="2F3E4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1950"/>
            <w:shd w:fill="2F3E4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Profissional</w:t>
            </w:r>
          </w:p>
        </w:tc>
        <w:tc>
          <w:tcPr>
            <w:tcW w:type="dxa" w:w="2500"/>
            <w:shd w:fill="2F3E4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Resolve</w:t>
            </w:r>
          </w:p>
        </w:tc>
        <w:tc>
          <w:tcPr>
            <w:tcW w:type="dxa" w:w="2700"/>
            <w:shd w:fill="2F3E4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Quando contratar</w:t>
            </w:r>
          </w:p>
        </w:tc>
        <w:tc>
          <w:tcPr>
            <w:tcW w:type="dxa" w:w="2236"/>
            <w:shd w:fill="2F3E4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Observação</w:t>
            </w:r>
          </w:p>
        </w:tc>
      </w:tr>
      <w:tr>
        <w:tc>
          <w:tcPr>
            <w:tcW w:type="dxa" w:w="5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1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Advogado (contratos digitais, SaaS, terceiro setor)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As 11 minutas, os 24 itens de catálogo, os 5 modelos de documento, a política de retenção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ANTES do primeiro cadastro real</w:t>
            </w:r>
          </w:p>
        </w:tc>
        <w:tc>
          <w:tcPr>
            <w:tcW w:type="dxa" w:w="223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É a contratação de maior caminho crítico. Comece por ela.</w:t>
            </w:r>
          </w:p>
        </w:tc>
      </w:tr>
      <w:tr>
        <w:tc>
          <w:tcPr>
            <w:tcW w:type="dxa" w:w="52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195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Encarregado de dados (DPO)</w:t>
            </w:r>
          </w:p>
        </w:tc>
        <w:tc>
          <w:tcPr>
            <w:tcW w:type="dxa" w:w="25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Nomeação pública, política de retenção, canal de incidente ANPD</w:t>
            </w:r>
          </w:p>
        </w:tc>
        <w:tc>
          <w:tcPr>
            <w:tcW w:type="dxa" w:w="27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ANTES do primeiro dado pessoal</w:t>
            </w:r>
          </w:p>
        </w:tc>
        <w:tc>
          <w:tcPr>
            <w:tcW w:type="dxa" w:w="2236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Pode ser a mesma pessoa do item 1, se tiver a especialidade.</w:t>
            </w:r>
          </w:p>
        </w:tc>
      </w:tr>
      <w:tr>
        <w:tc>
          <w:tcPr>
            <w:tcW w:type="dxa" w:w="5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1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Contador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CNPJ e objeto social, emissão de nota fiscal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Antes de cobrar</w:t>
            </w:r>
          </w:p>
        </w:tc>
        <w:tc>
          <w:tcPr>
            <w:tcW w:type="dxa" w:w="223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Precisa conhecer o município-sede.</w:t>
            </w:r>
          </w:p>
        </w:tc>
      </w:tr>
      <w:tr>
        <w:tc>
          <w:tcPr>
            <w:tcW w:type="dxa" w:w="52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195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Tributarista</w:t>
            </w:r>
          </w:p>
        </w:tc>
        <w:tc>
          <w:tcPr>
            <w:tcW w:type="dxa" w:w="25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As 5 regras fiscais, carga tributária dos planos</w:t>
            </w:r>
          </w:p>
        </w:tc>
        <w:tc>
          <w:tcPr>
            <w:tcW w:type="dxa" w:w="27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Antes de cobrar</w:t>
            </w:r>
          </w:p>
        </w:tc>
        <w:tc>
          <w:tcPr>
            <w:tcW w:type="dxa" w:w="2236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Pode ser o mesmo do item 3, se tiver a especialidade.</w:t>
            </w:r>
          </w:p>
        </w:tc>
      </w:tr>
      <w:tr>
        <w:tc>
          <w:tcPr>
            <w:tcW w:type="dxa" w:w="5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5</w:t>
            </w:r>
          </w:p>
        </w:tc>
        <w:tc>
          <w:tcPr>
            <w:tcW w:type="dxa" w:w="1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Empresa de segurança ofensiva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Teste de intrusão independente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Antes de abrir ao público</w:t>
            </w:r>
          </w:p>
        </w:tc>
        <w:tc>
          <w:tcPr>
            <w:tcW w:type="dxa" w:w="223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Pedir escopo de aplicação web autenticada e multi-inquilino.</w:t>
            </w:r>
          </w:p>
        </w:tc>
      </w:tr>
      <w:tr>
        <w:tc>
          <w:tcPr>
            <w:tcW w:type="dxa" w:w="52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6</w:t>
            </w:r>
          </w:p>
        </w:tc>
        <w:tc>
          <w:tcPr>
            <w:tcW w:type="dxa" w:w="195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Consultoria de acessibilidade</w:t>
            </w:r>
          </w:p>
        </w:tc>
        <w:tc>
          <w:tcPr>
            <w:tcW w:type="dxa" w:w="25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Leitor de tela real, zoom 200%, daltonismo, voz</w:t>
            </w:r>
          </w:p>
        </w:tc>
        <w:tc>
          <w:tcPr>
            <w:tcW w:type="dxa" w:w="27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Antes de abrir ao público</w:t>
            </w:r>
          </w:p>
        </w:tc>
        <w:tc>
          <w:tcPr>
            <w:tcW w:type="dxa" w:w="2236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Idealmente com pessoa que use leitor de tela no dia a dia.</w:t>
            </w:r>
          </w:p>
        </w:tc>
      </w:tr>
      <w:tr>
        <w:tc>
          <w:tcPr>
            <w:tcW w:type="dxa" w:w="5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7</w:t>
            </w:r>
          </w:p>
        </w:tc>
        <w:tc>
          <w:tcPr>
            <w:tcW w:type="dxa" w:w="1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Quem operar a infraestrutura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Itens A1 a A7, B5, B6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Primeiro de todos</w:t>
            </w:r>
          </w:p>
        </w:tc>
        <w:tc>
          <w:tcPr>
            <w:tcW w:type="dxa" w:w="223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Pode ser você, se tiver familiaridade.</w:t>
            </w:r>
          </w:p>
        </w:tc>
      </w:tr>
    </w:tbl>
    <w:p>
      <w:r>
        <w:br w:type="page"/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</w:rPr>
        <w:t xml:space="preserve">O que NÃO depende de ninguém</w:t>
      </w:r>
    </w:p>
    <w:p>
      <w:pPr>
        <w:spacing w:after="120" w:before="0"/>
      </w:pPr>
      <w:r>
        <w:rPr>
          <w:rFonts w:ascii="Calibri" w:cs="Calibri" w:eastAsia="Calibri" w:hAnsi="Calibri"/>
          <w:sz w:val="20"/>
          <w:szCs w:val="20"/>
        </w:rPr>
        <w:t xml:space="preserve">Para dimensionar o que falta, vale dizer o que já está resolvido e não precisa de terceiro algum: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2.193 testes automatizados, sem falha e sem erro.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As 888 operações da interface de programação foram invocadas uma a uma: nenhuma responde com erro de servidor.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42 motores de domínio validados, com caso de dado faltante e caso adversarial.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49 passos de jornada cobertos, em 7 jornadas e 5 perfis de usuário.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Banco com 62 migrações, 321 das 322 tabelas com isolamento por organização e 667 políticas.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Backup e restauração exercitados de ponta a ponta, com verificação de integridade e controle negativo.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Varredura de segredos, análise estática de segurança e as defesas contra as classes conhecidas de ataque, todas exercitadas.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Interruptor de emergência, trilha de auditoria encadeada por hash e proveniência de indicador.</w:t>
      </w:r>
    </w:p>
    <w:p>
      <w:pPr>
        <w:spacing w:after="12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O que este documento lista é, portanto, a fronteira entre o que a engenharia podia resolver e o que ela não podia. Nada aqui ficou pendente por falta de trabalho técnico.</w:t>
      </w:r>
    </w:p>
    <w:p>
      <w:pPr>
        <w:spacing w:after="12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</w:rPr>
        <w:t xml:space="preserve">Uma observação sobre o que não se deve simular</w:t>
      </w:r>
    </w:p>
    <w:p>
      <w:pPr>
        <w:spacing w:after="120" w:before="0"/>
      </w:pPr>
      <w:r>
        <w:rPr>
          <w:rFonts w:ascii="Calibri" w:cs="Calibri" w:eastAsia="Calibri" w:hAnsi="Calibri"/>
          <w:sz w:val="20"/>
          <w:szCs w:val="20"/>
        </w:rPr>
        <w:t xml:space="preserve">Alguns dos itens acima têm atalho tentador: um ambiente de demonstração que finge emitir nota, uma assinatura que parece qualificada, uma verificação de identidade que sempre aprova.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 plataforma foi construída para RECUSAR esses atalhos, e isso é deliberado. Quando um provedor não está homologado, o recurso fica indisponível e diz que está indisponível — em vez de devolver um resultado que parece válido. É por isso que a assinatura qualificada ICP-Brasil está marcada como indisponível em vez de aproximada pela assinatura avançada própria: a diferença entre as duas é jurídica, e quem assina precisa saber qual das duas usou.</w:t>
      </w:r>
    </w:p>
    <w:p>
      <w:pPr>
        <w:spacing w:after="120" w:before="0"/>
      </w:pPr>
      <w:r>
        <w:rPr>
          <w:rFonts w:ascii="Calibri" w:cs="Calibri" w:eastAsia="Calibri" w:hAnsi="Calibri"/>
          <w:sz w:val="20"/>
          <w:szCs w:val="20"/>
        </w:rPr>
        <w:t xml:space="preserve">Em outras palavras: os itens deste documento não podem ser contornados por software. Essa é a razão de existir da lista.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Dependências de terceiros e de pessoas — antes de dados reais</dc:title>
  <dc:creator>Plataforma Impacto</dc:creator>
  <dc:description>Item a item: o que falta, como conseguir, quem providencia e a quem procurar.</dc:description>
  <cp:lastModifiedBy>Un-named</cp:lastModifiedBy>
  <cp:revision>1</cp:revision>
  <dcterms:created xsi:type="dcterms:W3CDTF">2026-10-07T15:07:48.261Z</dcterms:created>
  <dcterms:modified xsi:type="dcterms:W3CDTF">2026-10-07T15:07:48.265Z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