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BBD" w:rsidRPr="008A135A" w:rsidRDefault="009034AE" w:rsidP="00240394">
      <w:pPr>
        <w:spacing w:before="60" w:after="60"/>
        <w:jc w:val="center"/>
        <w:rPr>
          <w:b/>
          <w:color w:val="7030A0"/>
        </w:rPr>
      </w:pPr>
      <w:r w:rsidRPr="008A135A">
        <w:rPr>
          <w:b/>
          <w:color w:val="7030A0"/>
        </w:rPr>
        <w:t>Interaction Significant, Simple Main Effects Not Significant</w:t>
      </w:r>
    </w:p>
    <w:p w:rsidR="009034AE" w:rsidRDefault="009034AE" w:rsidP="00F64B7D">
      <w:pPr>
        <w:spacing w:before="60" w:after="60"/>
      </w:pPr>
    </w:p>
    <w:p w:rsidR="009034AE" w:rsidRDefault="009034AE" w:rsidP="00F64B7D">
      <w:pPr>
        <w:spacing w:before="60" w:after="60"/>
      </w:pPr>
      <w:r>
        <w:tab/>
      </w:r>
      <w:r w:rsidR="003A231E">
        <w:t>A sports psychologist at a French university</w:t>
      </w:r>
      <w:r w:rsidR="00786137">
        <w:t>,</w:t>
      </w:r>
      <w:r w:rsidR="00755167">
        <w:t xml:space="preserve"> wrote me for advice about a binary logistic regression</w:t>
      </w:r>
      <w:r w:rsidR="008241CD">
        <w:t xml:space="preserve">.  </w:t>
      </w:r>
      <w:r w:rsidR="003A231E">
        <w:t>T</w:t>
      </w:r>
      <w:r w:rsidR="008241CD">
        <w:t>he outcome variable was</w:t>
      </w:r>
      <w:r w:rsidR="003A231E">
        <w:t xml:space="preserve"> whether or not the subject had disturbed eating attitudes</w:t>
      </w:r>
      <w:r w:rsidR="008241CD">
        <w:t xml:space="preserve">, </w:t>
      </w:r>
      <w:r w:rsidR="003A231E">
        <w:t>and</w:t>
      </w:r>
      <w:r w:rsidR="008241CD">
        <w:t xml:space="preserve"> the predictor variables were gender (female, male) and status (athlete or not athlete).  Since all variables are dichotomous, a </w:t>
      </w:r>
      <w:proofErr w:type="spellStart"/>
      <w:r w:rsidR="008241CD">
        <w:t>logit</w:t>
      </w:r>
      <w:proofErr w:type="spellEnd"/>
      <w:r w:rsidR="008241CD">
        <w:t xml:space="preserve"> analysis would also be an appropriate way to analyze his data.</w:t>
      </w:r>
    </w:p>
    <w:p w:rsidR="008241CD" w:rsidRDefault="008241CD" w:rsidP="00F64B7D">
      <w:pPr>
        <w:spacing w:before="60" w:after="60"/>
      </w:pPr>
      <w:r>
        <w:tab/>
        <w:t xml:space="preserve">The analysis showed that there was a significant interaction between gender and status. However, test of the simple effects of status at levels of gender both fell short of significance:  Using Pearson </w:t>
      </w:r>
      <w:r>
        <w:sym w:font="Symbol" w:char="F063"/>
      </w:r>
      <w:r>
        <w:rPr>
          <w:vertAlign w:val="superscript"/>
        </w:rPr>
        <w:t>2</w:t>
      </w:r>
      <w:r>
        <w:t xml:space="preserve">, p = .059 with the girls and .17 with the boys.  This is understandably confusing, and </w:t>
      </w:r>
      <w:r w:rsidR="0095035D">
        <w:t>he</w:t>
      </w:r>
      <w:r>
        <w:t xml:space="preserve"> asked me to advise him regarding how to interpret the significant interaction.</w:t>
      </w:r>
    </w:p>
    <w:p w:rsidR="00E86849" w:rsidRDefault="00E86849" w:rsidP="00F64B7D">
      <w:pPr>
        <w:spacing w:before="60" w:after="60"/>
      </w:pPr>
      <w:r>
        <w:tab/>
        <w:t xml:space="preserve">The significant interaction tells us that the odds ratio for the girls (.304/.190 = 1.6) is significant greater than the odds ratio for the boys (.191/.281) = 0.68).  The tests of simple effects tells us that neither odds ratio is significantly different from 1.  The magnitude of the interaction (1.6 – 0.68 = </w:t>
      </w:r>
      <w:r w:rsidR="00474CF4">
        <w:t>0.92) is considerably greater than the magnitude of either simple main effect (1.6 - 1 = 0.6 and .68 - 1 = -0.32), so it is not really surprising that the simple main effects fell just short of significance when the interaction was significant.</w:t>
      </w:r>
    </w:p>
    <w:p w:rsidR="003A231E" w:rsidRDefault="003A231E" w:rsidP="00F64B7D">
      <w:pPr>
        <w:spacing w:before="60" w:after="60"/>
      </w:pPr>
      <w:r>
        <w:tab/>
        <w:t xml:space="preserve">I suggested that the results be summarized something like this:  </w:t>
      </w:r>
      <w:r w:rsidRPr="003A231E">
        <w:t>The effect of athletic status was significantly different for boys than for girls, with the risk of disordered eating attitudes being greater for athletes among the girls but lesser for athletes among the boys.</w:t>
      </w:r>
    </w:p>
    <w:p w:rsidR="00474CF4" w:rsidRDefault="00474CF4" w:rsidP="00F64B7D">
      <w:pPr>
        <w:spacing w:before="60" w:after="60"/>
      </w:pPr>
      <w:r>
        <w:tab/>
        <w:t>One useful way to illustrate an interaction like this is with a plot like that below:</w:t>
      </w:r>
    </w:p>
    <w:p w:rsidR="00474CF4" w:rsidRDefault="003A231E" w:rsidP="00F64B7D">
      <w:pPr>
        <w:spacing w:before="60" w:after="60"/>
      </w:pPr>
      <w:r>
        <w:rPr>
          <w:noProof/>
        </w:rPr>
        <w:drawing>
          <wp:inline distT="0" distB="0" distL="0" distR="0">
            <wp:extent cx="5943600" cy="2872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Significant_SimpleMainsN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72740"/>
                    </a:xfrm>
                    <a:prstGeom prst="rect">
                      <a:avLst/>
                    </a:prstGeom>
                  </pic:spPr>
                </pic:pic>
              </a:graphicData>
            </a:graphic>
          </wp:inline>
        </w:drawing>
      </w:r>
    </w:p>
    <w:p w:rsidR="001A7E9F" w:rsidRDefault="001A7E9F">
      <w:pPr>
        <w:overflowPunct/>
        <w:autoSpaceDE/>
        <w:autoSpaceDN/>
        <w:adjustRightInd/>
        <w:spacing w:after="0"/>
        <w:textAlignment w:val="auto"/>
      </w:pPr>
      <w:r>
        <w:br w:type="page"/>
      </w:r>
    </w:p>
    <w:p w:rsidR="00BC267B" w:rsidRDefault="00BC267B" w:rsidP="00F64B7D">
      <w:pPr>
        <w:spacing w:before="60" w:after="60"/>
      </w:pPr>
    </w:p>
    <w:tbl>
      <w:tblPr>
        <w:tblpPr w:leftFromText="180" w:rightFromText="180" w:vertAnchor="text" w:horzAnchor="page" w:tblpX="5527" w:tblpY="449"/>
        <w:tblW w:w="3158" w:type="dxa"/>
        <w:tblLook w:val="04A0" w:firstRow="1" w:lastRow="0" w:firstColumn="1" w:lastColumn="0" w:noHBand="0" w:noVBand="1"/>
      </w:tblPr>
      <w:tblGrid>
        <w:gridCol w:w="1158"/>
        <w:gridCol w:w="1000"/>
        <w:gridCol w:w="1000"/>
      </w:tblGrid>
      <w:tr w:rsidR="00B053C3" w:rsidRPr="00BC267B" w:rsidTr="00B053C3">
        <w:trPr>
          <w:trHeight w:val="288"/>
        </w:trPr>
        <w:tc>
          <w:tcPr>
            <w:tcW w:w="1158" w:type="dxa"/>
            <w:tcBorders>
              <w:top w:val="single" w:sz="4" w:space="0" w:color="0000FF"/>
              <w:left w:val="single" w:sz="4" w:space="0" w:color="0000FF"/>
              <w:bottom w:val="nil"/>
              <w:right w:val="nil"/>
            </w:tcBorders>
            <w:shd w:val="clear" w:color="auto" w:fill="auto"/>
            <w:noWrap/>
            <w:vAlign w:val="bottom"/>
            <w:hideMark/>
          </w:tcPr>
          <w:p w:rsidR="00B053C3" w:rsidRPr="00BC267B" w:rsidRDefault="00B053C3" w:rsidP="00B053C3">
            <w:pPr>
              <w:overflowPunct/>
              <w:autoSpaceDE/>
              <w:autoSpaceDN/>
              <w:adjustRightInd/>
              <w:spacing w:after="0"/>
              <w:textAlignment w:val="auto"/>
              <w:rPr>
                <w:rFonts w:ascii="Calibri" w:hAnsi="Calibri" w:cs="Calibri"/>
                <w:color w:val="000000"/>
                <w:sz w:val="22"/>
                <w:szCs w:val="22"/>
              </w:rPr>
            </w:pPr>
          </w:p>
        </w:tc>
        <w:tc>
          <w:tcPr>
            <w:tcW w:w="1000" w:type="dxa"/>
            <w:tcBorders>
              <w:top w:val="single" w:sz="4" w:space="0" w:color="0000FF"/>
              <w:left w:val="nil"/>
              <w:bottom w:val="nil"/>
              <w:right w:val="nil"/>
            </w:tcBorders>
            <w:shd w:val="clear" w:color="auto" w:fill="auto"/>
            <w:noWrap/>
            <w:vAlign w:val="bottom"/>
            <w:hideMark/>
          </w:tcPr>
          <w:p w:rsidR="00B053C3" w:rsidRPr="00BC267B" w:rsidRDefault="00B053C3" w:rsidP="00B053C3">
            <w:pPr>
              <w:overflowPunct/>
              <w:autoSpaceDE/>
              <w:autoSpaceDN/>
              <w:adjustRightInd/>
              <w:spacing w:after="0"/>
              <w:textAlignment w:val="auto"/>
              <w:rPr>
                <w:rFonts w:ascii="Calibri" w:hAnsi="Calibri" w:cs="Calibri"/>
                <w:color w:val="000000"/>
                <w:sz w:val="22"/>
                <w:szCs w:val="22"/>
              </w:rPr>
            </w:pPr>
            <w:r w:rsidRPr="00BC267B">
              <w:rPr>
                <w:rFonts w:ascii="Calibri" w:hAnsi="Calibri" w:cs="Calibri"/>
                <w:color w:val="000000"/>
                <w:sz w:val="22"/>
                <w:szCs w:val="22"/>
              </w:rPr>
              <w:t>Boys</w:t>
            </w:r>
          </w:p>
        </w:tc>
        <w:tc>
          <w:tcPr>
            <w:tcW w:w="1000" w:type="dxa"/>
            <w:tcBorders>
              <w:top w:val="single" w:sz="4" w:space="0" w:color="0000FF"/>
              <w:left w:val="nil"/>
              <w:bottom w:val="nil"/>
              <w:right w:val="single" w:sz="4" w:space="0" w:color="0000FF"/>
            </w:tcBorders>
            <w:shd w:val="clear" w:color="auto" w:fill="auto"/>
            <w:noWrap/>
            <w:vAlign w:val="bottom"/>
            <w:hideMark/>
          </w:tcPr>
          <w:p w:rsidR="00B053C3" w:rsidRPr="00BC267B" w:rsidRDefault="00B053C3" w:rsidP="00B053C3">
            <w:pPr>
              <w:overflowPunct/>
              <w:autoSpaceDE/>
              <w:autoSpaceDN/>
              <w:adjustRightInd/>
              <w:spacing w:after="0"/>
              <w:textAlignment w:val="auto"/>
              <w:rPr>
                <w:rFonts w:ascii="Calibri" w:hAnsi="Calibri" w:cs="Calibri"/>
                <w:color w:val="000000"/>
                <w:sz w:val="22"/>
                <w:szCs w:val="22"/>
              </w:rPr>
            </w:pPr>
            <w:r w:rsidRPr="00BC267B">
              <w:rPr>
                <w:rFonts w:ascii="Calibri" w:hAnsi="Calibri" w:cs="Calibri"/>
                <w:color w:val="000000"/>
                <w:sz w:val="22"/>
                <w:szCs w:val="22"/>
              </w:rPr>
              <w:t>Girls</w:t>
            </w:r>
          </w:p>
        </w:tc>
      </w:tr>
      <w:tr w:rsidR="00B053C3" w:rsidRPr="00BC267B" w:rsidTr="00B053C3">
        <w:trPr>
          <w:trHeight w:val="288"/>
        </w:trPr>
        <w:tc>
          <w:tcPr>
            <w:tcW w:w="1158" w:type="dxa"/>
            <w:tcBorders>
              <w:top w:val="nil"/>
              <w:left w:val="single" w:sz="4" w:space="0" w:color="0000FF"/>
              <w:bottom w:val="nil"/>
              <w:right w:val="nil"/>
            </w:tcBorders>
            <w:shd w:val="clear" w:color="auto" w:fill="auto"/>
            <w:noWrap/>
            <w:vAlign w:val="bottom"/>
            <w:hideMark/>
          </w:tcPr>
          <w:p w:rsidR="00B053C3" w:rsidRPr="00BC267B" w:rsidRDefault="00B053C3" w:rsidP="00B053C3">
            <w:pPr>
              <w:overflowPunct/>
              <w:autoSpaceDE/>
              <w:autoSpaceDN/>
              <w:adjustRightInd/>
              <w:spacing w:after="0"/>
              <w:textAlignment w:val="auto"/>
              <w:rPr>
                <w:rFonts w:ascii="Calibri" w:hAnsi="Calibri" w:cs="Calibri"/>
                <w:color w:val="000000"/>
                <w:sz w:val="22"/>
                <w:szCs w:val="22"/>
              </w:rPr>
            </w:pPr>
            <w:r w:rsidRPr="00BC267B">
              <w:rPr>
                <w:rFonts w:ascii="Calibri" w:hAnsi="Calibri" w:cs="Calibri"/>
                <w:color w:val="000000"/>
                <w:sz w:val="22"/>
                <w:szCs w:val="22"/>
              </w:rPr>
              <w:t>Athletes</w:t>
            </w:r>
          </w:p>
        </w:tc>
        <w:tc>
          <w:tcPr>
            <w:tcW w:w="1000" w:type="dxa"/>
            <w:tcBorders>
              <w:top w:val="nil"/>
              <w:left w:val="nil"/>
              <w:bottom w:val="nil"/>
              <w:right w:val="nil"/>
            </w:tcBorders>
            <w:shd w:val="clear" w:color="auto" w:fill="auto"/>
            <w:noWrap/>
            <w:vAlign w:val="bottom"/>
            <w:hideMark/>
          </w:tcPr>
          <w:p w:rsidR="00B053C3" w:rsidRPr="00BC267B" w:rsidRDefault="00B053C3" w:rsidP="00B053C3">
            <w:pPr>
              <w:overflowPunct/>
              <w:autoSpaceDE/>
              <w:autoSpaceDN/>
              <w:adjustRightInd/>
              <w:spacing w:after="0"/>
              <w:jc w:val="right"/>
              <w:textAlignment w:val="auto"/>
              <w:rPr>
                <w:rFonts w:ascii="Calibri" w:hAnsi="Calibri" w:cs="Calibri"/>
                <w:color w:val="000000"/>
                <w:sz w:val="22"/>
                <w:szCs w:val="22"/>
              </w:rPr>
            </w:pPr>
            <w:r w:rsidRPr="00BC267B">
              <w:rPr>
                <w:rFonts w:ascii="Calibri" w:hAnsi="Calibri" w:cs="Calibri"/>
                <w:color w:val="000000"/>
                <w:sz w:val="22"/>
                <w:szCs w:val="22"/>
              </w:rPr>
              <w:t>0.191</w:t>
            </w:r>
          </w:p>
        </w:tc>
        <w:tc>
          <w:tcPr>
            <w:tcW w:w="1000" w:type="dxa"/>
            <w:tcBorders>
              <w:top w:val="nil"/>
              <w:left w:val="nil"/>
              <w:bottom w:val="nil"/>
              <w:right w:val="single" w:sz="4" w:space="0" w:color="0000FF"/>
            </w:tcBorders>
            <w:shd w:val="clear" w:color="auto" w:fill="auto"/>
            <w:noWrap/>
            <w:vAlign w:val="bottom"/>
            <w:hideMark/>
          </w:tcPr>
          <w:p w:rsidR="00B053C3" w:rsidRPr="00BC267B" w:rsidRDefault="00B053C3" w:rsidP="00B053C3">
            <w:pPr>
              <w:overflowPunct/>
              <w:autoSpaceDE/>
              <w:autoSpaceDN/>
              <w:adjustRightInd/>
              <w:spacing w:after="0"/>
              <w:jc w:val="right"/>
              <w:textAlignment w:val="auto"/>
              <w:rPr>
                <w:rFonts w:ascii="Calibri" w:hAnsi="Calibri" w:cs="Calibri"/>
                <w:color w:val="000000"/>
                <w:sz w:val="22"/>
                <w:szCs w:val="22"/>
              </w:rPr>
            </w:pPr>
            <w:r w:rsidRPr="00BC267B">
              <w:rPr>
                <w:rFonts w:ascii="Calibri" w:hAnsi="Calibri" w:cs="Calibri"/>
                <w:color w:val="000000"/>
                <w:sz w:val="22"/>
                <w:szCs w:val="22"/>
              </w:rPr>
              <w:t>0.304</w:t>
            </w:r>
          </w:p>
        </w:tc>
      </w:tr>
      <w:tr w:rsidR="00B053C3" w:rsidRPr="00BC267B" w:rsidTr="00B053C3">
        <w:trPr>
          <w:trHeight w:val="288"/>
        </w:trPr>
        <w:tc>
          <w:tcPr>
            <w:tcW w:w="1158" w:type="dxa"/>
            <w:tcBorders>
              <w:top w:val="nil"/>
              <w:left w:val="single" w:sz="4" w:space="0" w:color="0000FF"/>
              <w:bottom w:val="single" w:sz="4" w:space="0" w:color="0000FF"/>
              <w:right w:val="nil"/>
            </w:tcBorders>
            <w:shd w:val="clear" w:color="auto" w:fill="auto"/>
            <w:noWrap/>
            <w:vAlign w:val="bottom"/>
            <w:hideMark/>
          </w:tcPr>
          <w:p w:rsidR="00B053C3" w:rsidRPr="00BC267B" w:rsidRDefault="00B053C3" w:rsidP="00B053C3">
            <w:pPr>
              <w:overflowPunct/>
              <w:autoSpaceDE/>
              <w:autoSpaceDN/>
              <w:adjustRightInd/>
              <w:spacing w:after="0"/>
              <w:textAlignment w:val="auto"/>
              <w:rPr>
                <w:rFonts w:ascii="Calibri" w:hAnsi="Calibri" w:cs="Calibri"/>
                <w:color w:val="000000"/>
                <w:sz w:val="22"/>
                <w:szCs w:val="22"/>
              </w:rPr>
            </w:pPr>
            <w:r w:rsidRPr="00BC267B">
              <w:rPr>
                <w:rFonts w:ascii="Calibri" w:hAnsi="Calibri" w:cs="Calibri"/>
                <w:color w:val="000000"/>
                <w:sz w:val="22"/>
                <w:szCs w:val="22"/>
              </w:rPr>
              <w:t>Not Athletes</w:t>
            </w:r>
          </w:p>
        </w:tc>
        <w:tc>
          <w:tcPr>
            <w:tcW w:w="1000" w:type="dxa"/>
            <w:tcBorders>
              <w:top w:val="nil"/>
              <w:left w:val="nil"/>
              <w:bottom w:val="single" w:sz="4" w:space="0" w:color="0000FF"/>
              <w:right w:val="nil"/>
            </w:tcBorders>
            <w:shd w:val="clear" w:color="auto" w:fill="auto"/>
            <w:noWrap/>
            <w:vAlign w:val="bottom"/>
            <w:hideMark/>
          </w:tcPr>
          <w:p w:rsidR="00B053C3" w:rsidRPr="00BC267B" w:rsidRDefault="00B053C3" w:rsidP="00B053C3">
            <w:pPr>
              <w:overflowPunct/>
              <w:autoSpaceDE/>
              <w:autoSpaceDN/>
              <w:adjustRightInd/>
              <w:spacing w:after="0"/>
              <w:jc w:val="right"/>
              <w:textAlignment w:val="auto"/>
              <w:rPr>
                <w:rFonts w:ascii="Calibri" w:hAnsi="Calibri" w:cs="Calibri"/>
                <w:color w:val="000000"/>
                <w:sz w:val="22"/>
                <w:szCs w:val="22"/>
              </w:rPr>
            </w:pPr>
            <w:r w:rsidRPr="00BC267B">
              <w:rPr>
                <w:rFonts w:ascii="Calibri" w:hAnsi="Calibri" w:cs="Calibri"/>
                <w:color w:val="000000"/>
                <w:sz w:val="22"/>
                <w:szCs w:val="22"/>
              </w:rPr>
              <w:t>0.281</w:t>
            </w:r>
          </w:p>
        </w:tc>
        <w:tc>
          <w:tcPr>
            <w:tcW w:w="1000" w:type="dxa"/>
            <w:tcBorders>
              <w:top w:val="nil"/>
              <w:left w:val="nil"/>
              <w:bottom w:val="single" w:sz="4" w:space="0" w:color="0000FF"/>
              <w:right w:val="single" w:sz="4" w:space="0" w:color="0000FF"/>
            </w:tcBorders>
            <w:shd w:val="clear" w:color="auto" w:fill="auto"/>
            <w:noWrap/>
            <w:vAlign w:val="bottom"/>
            <w:hideMark/>
          </w:tcPr>
          <w:p w:rsidR="00B053C3" w:rsidRPr="00BC267B" w:rsidRDefault="00B053C3" w:rsidP="00B053C3">
            <w:pPr>
              <w:overflowPunct/>
              <w:autoSpaceDE/>
              <w:autoSpaceDN/>
              <w:adjustRightInd/>
              <w:spacing w:after="0"/>
              <w:jc w:val="right"/>
              <w:textAlignment w:val="auto"/>
              <w:rPr>
                <w:rFonts w:ascii="Calibri" w:hAnsi="Calibri" w:cs="Calibri"/>
                <w:color w:val="000000"/>
                <w:sz w:val="22"/>
                <w:szCs w:val="22"/>
              </w:rPr>
            </w:pPr>
            <w:r w:rsidRPr="00BC267B">
              <w:rPr>
                <w:rFonts w:ascii="Calibri" w:hAnsi="Calibri" w:cs="Calibri"/>
                <w:color w:val="000000"/>
                <w:sz w:val="22"/>
                <w:szCs w:val="22"/>
              </w:rPr>
              <w:t>0.19</w:t>
            </w:r>
          </w:p>
        </w:tc>
      </w:tr>
    </w:tbl>
    <w:p w:rsidR="00BC267B" w:rsidRDefault="00BC267B" w:rsidP="00F64B7D">
      <w:pPr>
        <w:spacing w:before="60" w:after="60"/>
      </w:pPr>
      <w:r>
        <w:tab/>
        <w:t>I created this plot in Excel 2010 by entering the odds into a 2 x 2 table like this and then requesting a line plot.</w:t>
      </w:r>
    </w:p>
    <w:p w:rsidR="00BC267B" w:rsidRDefault="00BC267B" w:rsidP="00F64B7D">
      <w:pPr>
        <w:spacing w:before="60" w:after="60"/>
      </w:pPr>
    </w:p>
    <w:p w:rsidR="00BC267B" w:rsidRDefault="00BC267B" w:rsidP="00F64B7D">
      <w:pPr>
        <w:spacing w:before="60" w:after="60"/>
      </w:pPr>
    </w:p>
    <w:p w:rsidR="00BC267B" w:rsidRDefault="00BC267B" w:rsidP="00F64B7D">
      <w:pPr>
        <w:spacing w:before="60" w:after="60"/>
      </w:pPr>
    </w:p>
    <w:p w:rsidR="00BC267B" w:rsidRDefault="00B053C3" w:rsidP="00F64B7D">
      <w:pPr>
        <w:spacing w:before="60" w:after="60"/>
      </w:pPr>
      <w:r>
        <w:tab/>
        <w:t xml:space="preserve">Then I exported the </w:t>
      </w:r>
      <w:hyperlink r:id="rId6" w:history="1">
        <w:r w:rsidRPr="008A135A">
          <w:rPr>
            <w:rStyle w:val="Hyperlink"/>
          </w:rPr>
          <w:t>worksheet</w:t>
        </w:r>
      </w:hyperlink>
      <w:r>
        <w:t xml:space="preserve"> to an </w:t>
      </w:r>
      <w:proofErr w:type="spellStart"/>
      <w:r>
        <w:t>htm</w:t>
      </w:r>
      <w:proofErr w:type="spellEnd"/>
      <w:r>
        <w:t xml:space="preserve"> file and copied the chart (image001.png) from the “_files” folder produced by Excel and associated with the </w:t>
      </w:r>
      <w:proofErr w:type="spellStart"/>
      <w:r>
        <w:t>htm</w:t>
      </w:r>
      <w:proofErr w:type="spellEnd"/>
      <w:r>
        <w:t xml:space="preserve"> file.</w:t>
      </w:r>
    </w:p>
    <w:p w:rsidR="003A231E" w:rsidRDefault="00B053C3" w:rsidP="00F64B7D">
      <w:pPr>
        <w:spacing w:before="60" w:after="60"/>
      </w:pPr>
      <w:r>
        <w:tab/>
        <w:t xml:space="preserve">Exactly the same thing can happen in a factorial ANOVA.  Suppose that the vertical axis represents means on the outcome variable.  It is possible for the interaction to be significant but both simple main effects fall short of significance.  One way to think of this is that </w:t>
      </w:r>
      <w:r w:rsidR="00C27579">
        <w:t>the two lines in the plot have significantly different slopes (one positive, one negative) but neither of them have a slope that is significantly different from zero.</w:t>
      </w:r>
    </w:p>
    <w:p w:rsidR="008A135A" w:rsidRDefault="008A135A" w:rsidP="00F64B7D">
      <w:pPr>
        <w:spacing w:before="60" w:after="60"/>
      </w:pPr>
    </w:p>
    <w:p w:rsidR="008A135A" w:rsidRDefault="008A135A" w:rsidP="00F64B7D">
      <w:pPr>
        <w:spacing w:before="60" w:after="60"/>
      </w:pPr>
      <w:r>
        <w:t>Karl L. Wuensch, January, 2011.</w:t>
      </w:r>
    </w:p>
    <w:p w:rsidR="008A135A" w:rsidRDefault="008A135A" w:rsidP="00F64B7D">
      <w:pPr>
        <w:spacing w:before="60" w:after="60"/>
      </w:pPr>
    </w:p>
    <w:p w:rsidR="008A135A" w:rsidRPr="008241CD" w:rsidRDefault="008A135A" w:rsidP="00F64B7D">
      <w:pPr>
        <w:spacing w:before="60" w:after="60"/>
      </w:pPr>
      <w:hyperlink r:id="rId7" w:history="1">
        <w:r w:rsidRPr="008A135A">
          <w:rPr>
            <w:rStyle w:val="Hyperlink"/>
          </w:rPr>
          <w:t xml:space="preserve">Return to </w:t>
        </w:r>
        <w:proofErr w:type="spellStart"/>
        <w:r w:rsidRPr="008A135A">
          <w:rPr>
            <w:rStyle w:val="Hyperlink"/>
          </w:rPr>
          <w:t>Wuensch’s</w:t>
        </w:r>
        <w:proofErr w:type="spellEnd"/>
        <w:r w:rsidRPr="008A135A">
          <w:rPr>
            <w:rStyle w:val="Hyperlink"/>
          </w:rPr>
          <w:t xml:space="preserve"> Stat Help Page</w:t>
        </w:r>
      </w:hyperlink>
      <w:bookmarkStart w:id="0" w:name="_GoBack"/>
      <w:bookmarkEnd w:id="0"/>
    </w:p>
    <w:sectPr w:rsidR="008A135A" w:rsidRPr="008241CD">
      <w:pgSz w:w="12240" w:h="15840"/>
      <w:pgMar w:top="1440" w:right="1440" w:bottom="1440" w:left="1440" w:header="720" w:footer="720" w:gutter="0"/>
      <w:cols w:space="720"/>
      <w:noEndnote/>
      <w:titlePg/>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CA9"/>
    <w:rsid w:val="001A7E9F"/>
    <w:rsid w:val="00240394"/>
    <w:rsid w:val="003A231E"/>
    <w:rsid w:val="00474CF4"/>
    <w:rsid w:val="007510AC"/>
    <w:rsid w:val="00755167"/>
    <w:rsid w:val="00786137"/>
    <w:rsid w:val="008241CD"/>
    <w:rsid w:val="00827CA9"/>
    <w:rsid w:val="008A135A"/>
    <w:rsid w:val="009034AE"/>
    <w:rsid w:val="0095035D"/>
    <w:rsid w:val="00B053C3"/>
    <w:rsid w:val="00BC267B"/>
    <w:rsid w:val="00BC376B"/>
    <w:rsid w:val="00C27579"/>
    <w:rsid w:val="00E35BBD"/>
    <w:rsid w:val="00E86849"/>
    <w:rsid w:val="00F64B7D"/>
    <w:rsid w:val="00FF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S">
    <w:name w:val="SAS"/>
    <w:basedOn w:val="PlainText"/>
    <w:pPr>
      <w:spacing w:after="0"/>
    </w:pPr>
    <w:rPr>
      <w:rFonts w:ascii="SAS Monospace" w:eastAsia="MS Mincho" w:hAnsi="SAS Monospace"/>
      <w:sz w:val="16"/>
    </w:rPr>
  </w:style>
  <w:style w:type="paragraph" w:styleId="PlainText">
    <w:name w:val="Plain Text"/>
    <w:basedOn w:val="Normal"/>
    <w:rPr>
      <w:rFonts w:ascii="Courier New" w:hAnsi="Courier New" w:cs="Courier New"/>
      <w:sz w:val="20"/>
    </w:rPr>
  </w:style>
  <w:style w:type="paragraph" w:styleId="EnvelopeAddress">
    <w:name w:val="envelope address"/>
    <w:basedOn w:val="Normal"/>
    <w:autoRedefine/>
    <w:pPr>
      <w:framePr w:w="7920" w:h="1980" w:hRule="exact" w:hSpace="180" w:wrap="auto" w:hAnchor="page" w:xAlign="center" w:yAlign="bottom"/>
      <w:ind w:left="2880"/>
    </w:pPr>
    <w:rPr>
      <w:rFonts w:cs="Arial"/>
      <w:szCs w:val="24"/>
    </w:rPr>
  </w:style>
  <w:style w:type="paragraph" w:styleId="EnvelopeReturn">
    <w:name w:val="envelope return"/>
    <w:basedOn w:val="Normal"/>
    <w:autoRedefine/>
    <w:pPr>
      <w:spacing w:after="0"/>
    </w:pPr>
    <w:rPr>
      <w:rFonts w:cs="Arial"/>
      <w:sz w:val="20"/>
    </w:rPr>
  </w:style>
  <w:style w:type="character" w:styleId="Hyperlink">
    <w:name w:val="Hyperlink"/>
    <w:basedOn w:val="DefaultParagraphFont"/>
    <w:rsid w:val="008A13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S">
    <w:name w:val="SAS"/>
    <w:basedOn w:val="PlainText"/>
    <w:pPr>
      <w:spacing w:after="0"/>
    </w:pPr>
    <w:rPr>
      <w:rFonts w:ascii="SAS Monospace" w:eastAsia="MS Mincho" w:hAnsi="SAS Monospace"/>
      <w:sz w:val="16"/>
    </w:rPr>
  </w:style>
  <w:style w:type="paragraph" w:styleId="PlainText">
    <w:name w:val="Plain Text"/>
    <w:basedOn w:val="Normal"/>
    <w:rPr>
      <w:rFonts w:ascii="Courier New" w:hAnsi="Courier New" w:cs="Courier New"/>
      <w:sz w:val="20"/>
    </w:rPr>
  </w:style>
  <w:style w:type="paragraph" w:styleId="EnvelopeAddress">
    <w:name w:val="envelope address"/>
    <w:basedOn w:val="Normal"/>
    <w:autoRedefine/>
    <w:pPr>
      <w:framePr w:w="7920" w:h="1980" w:hRule="exact" w:hSpace="180" w:wrap="auto" w:hAnchor="page" w:xAlign="center" w:yAlign="bottom"/>
      <w:ind w:left="2880"/>
    </w:pPr>
    <w:rPr>
      <w:rFonts w:cs="Arial"/>
      <w:szCs w:val="24"/>
    </w:rPr>
  </w:style>
  <w:style w:type="paragraph" w:styleId="EnvelopeReturn">
    <w:name w:val="envelope return"/>
    <w:basedOn w:val="Normal"/>
    <w:autoRedefine/>
    <w:pPr>
      <w:spacing w:after="0"/>
    </w:pPr>
    <w:rPr>
      <w:rFonts w:cs="Arial"/>
      <w:sz w:val="20"/>
    </w:rPr>
  </w:style>
  <w:style w:type="character" w:styleId="Hyperlink">
    <w:name w:val="Hyperlink"/>
    <w:basedOn w:val="DefaultParagraphFont"/>
    <w:rsid w:val="008A13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20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re.ecu.edu/psyc/wuenschk/StatHelp/StatHelp.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InteractionSignificant_SimpleMainsNot.xls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L. Wuensch</dc:creator>
  <cp:lastModifiedBy>Karl L. Wuensch</cp:lastModifiedBy>
  <cp:revision>10</cp:revision>
  <dcterms:created xsi:type="dcterms:W3CDTF">2011-01-17T15:14:00Z</dcterms:created>
  <dcterms:modified xsi:type="dcterms:W3CDTF">2011-01-17T20:50:00Z</dcterms:modified>
</cp:coreProperties>
</file>