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Pokemon Pricing App - Daily Update</w:t>
      </w:r>
    </w:p>
    <w:p>
      <w:pPr>
        <w:spacing w:after="100"/>
      </w:pPr>
      <w:r>
        <w:rPr>
          <w:i/>
          <w:color w:val="5F6B7D"/>
        </w:rPr>
        <w:t>Aug. 19, 2026  |  What's new since the last progress doc</w:t>
      </w:r>
    </w:p>
    <w:p>
      <w:pPr>
        <w:spacing w:before="40" w:after="100"/>
        <w:ind w:left="259" w:right="259"/>
        <w:shd w:fill="EEF4FB"/>
      </w:pPr>
      <w:r>
        <w:rPr>
          <w:b/>
          <w:sz w:val="20"/>
        </w:rPr>
        <w:t>Short version: today was about turning the app from a price viewer into the start of an explainable buying tool. Price history is live, Recommended Buy has a first statistical baseline, comparable sales are much cleaner, and the liquidity work exposed the next data-collection problem.</w:t>
      </w:r>
    </w:p>
    <w:p>
      <w:pPr>
        <w:pStyle w:val="Heading1"/>
      </w:pPr>
      <w:r>
        <w:t>1. Price history is live</w:t>
      </w:r>
    </w:p>
    <w:p>
      <w:pPr>
        <w:pStyle w:val="ListBullet"/>
        <w:spacing w:after="30" w:line="235" w:lineRule="auto"/>
      </w:pPr>
      <w:r>
        <w:t>Added TCGplayer market-price history using TCGCSV's daily archives.</w:t>
      </w:r>
    </w:p>
    <w:p>
      <w:pPr>
        <w:pStyle w:val="ListBullet"/>
        <w:spacing w:after="30" w:line="235" w:lineRule="auto"/>
      </w:pPr>
      <w:r>
        <w:t>History is backfilled offline and cached by set/group, so opening a card does not download archives.</w:t>
      </w:r>
    </w:p>
    <w:p>
      <w:pPr>
        <w:pStyle w:val="ListBullet"/>
        <w:spacing w:after="30" w:line="235" w:lineRule="auto"/>
      </w:pPr>
      <w:r>
        <w:t>Chart supports 1M / 3M / 6M / 1Y / ALL; missing market-price days remain real gaps.</w:t>
      </w:r>
    </w:p>
    <w:p>
      <w:pPr>
        <w:pStyle w:val="ListBullet"/>
        <w:spacing w:after="30" w:line="235" w:lineRule="auto"/>
      </w:pPr>
      <w:r>
        <w:t>Weekly sampling is the MVP default: enough for long-term movement without pulling roughly 3 GB of daily archives.</w:t>
      </w:r>
    </w:p>
    <w:p>
      <w:pPr>
        <w:pStyle w:val="ListBullet"/>
        <w:spacing w:after="30" w:line="235" w:lineRule="auto"/>
      </w:pPr>
      <w:r>
        <w:t>Tested modern, vintage, fallback-priced and newly released cards; pre-release dates stay empty.</w:t>
      </w:r>
    </w:p>
    <w:p>
      <w:pPr>
        <w:pStyle w:val="Heading1"/>
      </w:pPr>
      <w:r>
        <w:t>2. The main product number is now 'Recommended Buy'</w:t>
      </w:r>
    </w:p>
    <w:p>
      <w:r>
        <w:rPr>
          <w:b w:val="0"/>
        </w:rPr>
        <w:t xml:space="preserve">The idea shifted from </w:t>
      </w:r>
      <w:r>
        <w:rPr>
          <w:i/>
        </w:rPr>
        <w:t>"our estimated market price"</w:t>
      </w:r>
      <w:r>
        <w:t xml:space="preserve"> to: </w:t>
      </w:r>
      <w:r>
        <w:rPr>
          <w:b/>
        </w:rPr>
        <w:t>"What price would actually look like a good buy right now?"</w:t>
      </w:r>
    </w:p>
    <w:p>
      <w:pPr>
        <w:pStyle w:val="ListBullet"/>
        <w:spacing w:after="30" w:line="235" w:lineRule="auto"/>
      </w:pPr>
      <w:r>
        <w:t>Stage A: Market Reference from TCGplayer + comparable eBay sales.</w:t>
      </w:r>
    </w:p>
    <w:p>
      <w:pPr>
        <w:pStyle w:val="ListBullet"/>
        <w:spacing w:after="30" w:line="235" w:lineRule="auto"/>
      </w:pPr>
      <w:r>
        <w:t>Stage B: margin of safety based on spread, source disagreement, thin evidence, staleness and volatility.</w:t>
      </w:r>
    </w:p>
    <w:p>
      <w:pPr>
        <w:pStyle w:val="ListBullet"/>
        <w:spacing w:after="30" w:line="235" w:lineRule="auto"/>
      </w:pPr>
      <w:r>
        <w:t>Median is the main eBay centre because the sale data is heavily right-skewed.</w:t>
      </w:r>
    </w:p>
    <w:p>
      <w:pPr>
        <w:pStyle w:val="ListBullet"/>
        <w:spacing w:after="30" w:line="235" w:lineRule="auto"/>
      </w:pPr>
      <w:r>
        <w:t>The system can refuse a recommendation when the evidence is messy instead of forcing a fake-precise number.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</w:tcPr>
          <w:p>
            <w:pPr>
              <w:spacing w:after="0"/>
            </w:pPr>
            <w:r>
              <w:rPr>
                <w:b/>
                <w:sz w:val="19"/>
              </w:rPr>
              <w:t>Example output</w:t>
            </w:r>
          </w:p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TCGplayer Market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$600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Recent eBay Median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$585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Recommended Buy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9"/>
              </w:rPr>
              <w:t>&lt;= $560</w:t>
            </w:r>
          </w:p>
        </w:tc>
      </w:tr>
    </w:tbl>
    <w:p>
      <w:pPr>
        <w:pStyle w:val="Heading1"/>
      </w:pPr>
      <w:r>
        <w:t>3. Comparable sales got much cleaner</w:t>
      </w:r>
    </w:p>
    <w:p>
      <w:r>
        <w:t>The pricing analysis found that the same card number can still contain totally different markets, so the grouping model was tightened.</w:t>
      </w:r>
    </w:p>
    <w:p>
      <w:pPr>
        <w:pStyle w:val="ListBullet"/>
        <w:spacing w:after="30" w:line="235" w:lineRule="auto"/>
      </w:pPr>
      <w:r>
        <w:t>Added edition: 1st Edition / Shadowless / Unlimited / Other / Unknown.</w:t>
      </w:r>
    </w:p>
    <w:p>
      <w:pPr>
        <w:pStyle w:val="ListBullet"/>
        <w:spacing w:after="30" w:line="235" w:lineRule="auto"/>
      </w:pPr>
      <w:r>
        <w:t>Added print variant: Holo / Reverse Holo / Non-Holo / Other / Unknown.</w:t>
      </w:r>
    </w:p>
    <w:p>
      <w:pPr>
        <w:pStyle w:val="ListBullet"/>
        <w:spacing w:after="30" w:line="235" w:lineRule="auto"/>
      </w:pPr>
      <w:r>
        <w:t>Signed, sketched, altered and aftermarket art-card listings are excluded from normal comps.</w:t>
      </w:r>
    </w:p>
    <w:p>
      <w:pPr>
        <w:pStyle w:val="ListBullet"/>
        <w:spacing w:after="30" w:line="235" w:lineRule="auto"/>
      </w:pPr>
      <w:r>
        <w:t>Card-number matching checks the denominator too, stopping Base Set 2 from contaminating Base Set groups.</w:t>
      </w:r>
    </w:p>
    <w:p>
      <w:pPr>
        <w:pStyle w:val="ListBullet"/>
        <w:spacing w:after="30" w:line="235" w:lineRule="auto"/>
      </w:pPr>
      <w:r>
        <w:t>Language is now part of the group identity: explicit foreign sales stay visible but do not enter the English pricing group.</w:t>
      </w:r>
    </w:p>
    <w:p>
      <w:pPr>
        <w:pStyle w:val="ListBullet"/>
        <w:spacing w:after="30" w:line="235" w:lineRule="auto"/>
      </w:pPr>
      <w:r>
        <w:t>A narrow Gold Foil Card rule caught another novelty Shining Charizard without rejecting legitimate Gold Secret Rares.</w:t>
      </w:r>
    </w:p>
    <w:p>
      <w:r>
        <w:rPr>
          <w:b/>
        </w:rPr>
        <w:t xml:space="preserve">Result: </w:t>
      </w:r>
      <w:r>
        <w:t>the holdout set went from 3 false-positive comps to 0, while the development evaluation stayed unchanged.</w:t>
      </w:r>
    </w:p>
    <w:p>
      <w:pPr>
        <w:pStyle w:val="Heading1"/>
      </w:pPr>
      <w:r>
        <w:t>4. The eBay UI now matches the analysis</w:t>
      </w:r>
    </w:p>
    <w:p>
      <w:pPr>
        <w:pStyle w:val="ListBullet"/>
        <w:spacing w:after="30" w:line="235" w:lineRule="auto"/>
      </w:pPr>
      <w:r>
        <w:t>The old UI effectively put every raw sale into one bucket.</w:t>
      </w:r>
    </w:p>
    <w:p>
      <w:pPr>
        <w:pStyle w:val="ListBullet"/>
        <w:spacing w:after="30" w:line="235" w:lineRule="auto"/>
      </w:pPr>
      <w:r>
        <w:t>Now it uses the exact same comparableGroup key as the Python analysis.</w:t>
      </w:r>
    </w:p>
    <w:p>
      <w:pPr>
        <w:pStyle w:val="ListBullet"/>
        <w:spacing w:after="30" w:line="235" w:lineRule="auto"/>
      </w:pPr>
      <w:r>
        <w:t>Users can switch between markets like Raw - 1st Edition, Raw - Reverse Holo, PSA 10, PSA 9, etc.</w:t>
      </w:r>
    </w:p>
    <w:p>
      <w:pPr>
        <w:pStyle w:val="ListBullet"/>
        <w:spacing w:after="30" w:line="235" w:lineRule="auto"/>
      </w:pPr>
      <w:r>
        <w:t>Each group has its own comparable-sale count.</w:t>
      </w:r>
    </w:p>
    <w:p>
      <w:pPr>
        <w:pStyle w:val="ListBullet"/>
        <w:spacing w:after="30" w:line="235" w:lineRule="auto"/>
      </w:pPr>
      <w:r>
        <w:t>A parity script verifies that the English listings shown in the UI are exactly the listings used by Python.</w:t>
      </w:r>
    </w:p>
    <w:p>
      <w:pPr>
        <w:pStyle w:val="Heading1"/>
      </w:pPr>
      <w:r>
        <w:t>5. Liquidity research found the real bottleneck</w:t>
      </w:r>
    </w:p>
    <w:p>
      <w:r>
        <w:rPr>
          <w:b/>
        </w:rPr>
        <w:t>The '62-day dataset' was not actually a 62-day observation window.</w:t>
      </w:r>
      <w:r>
        <w:t xml:space="preserve"> Every fixture is the 20 most recent sales for that card.</w:t>
      </w:r>
    </w:p>
    <w:p>
      <w:pPr>
        <w:pStyle w:val="ListBullet"/>
        <w:spacing w:after="30" w:line="235" w:lineRule="auto"/>
      </w:pPr>
      <w:r>
        <w:t>Fast cards can fill 20 sales in 1-4 days; slow cards can take 50-60+ days.</w:t>
      </w:r>
    </w:p>
    <w:p>
      <w:pPr>
        <w:pStyle w:val="ListBullet"/>
        <w:spacing w:after="30" w:line="235" w:lineRule="auto"/>
      </w:pPr>
      <w:r>
        <w:t>So fast markets are count-censored: we know they are liquid, but the true rate is above what we can observe.</w:t>
      </w:r>
    </w:p>
    <w:p>
      <w:pPr>
        <w:pStyle w:val="ListBullet"/>
        <w:spacing w:after="30" w:line="235" w:lineRule="auto"/>
      </w:pPr>
      <w:r>
        <w:t>Days-since-last-sale is biased toward zero because each scrape starts from the newest sales.</w:t>
      </w:r>
    </w:p>
    <w:p>
      <w:pPr>
        <w:pStyle w:val="ListBullet"/>
        <w:spacing w:after="30" w:line="235" w:lineRule="auto"/>
      </w:pPr>
      <w:r>
        <w:t>Only 5 of 144 comparable groups currently support even a prototype rate estimate.</w:t>
      </w:r>
    </w:p>
    <w:p>
      <w:pPr>
        <w:pStyle w:val="ListBullet"/>
        <w:spacing w:after="30" w:line="235" w:lineRule="auto"/>
      </w:pPr>
      <w:r>
        <w:t>A 0-100 score was tested and rejected for now because it creates fake precision.</w:t>
      </w:r>
    </w:p>
    <w:p>
      <w:pPr>
        <w:spacing w:before="40" w:after="100"/>
        <w:ind w:left="259" w:right="259"/>
        <w:shd w:fill="EEF4FB"/>
      </w:pPr>
      <w:r>
        <w:rPr>
          <w:b/>
          <w:sz w:val="20"/>
        </w:rPr>
        <w:t>Best liquidity display later: show the evidence. With enough data: 'Typical comparable sale every ~3 days' + recent sale count. With sparse data: '3 comparable sales observed' + last sale date + an insufficient-evidence note.</w:t>
      </w:r>
    </w:p>
    <w:p>
      <w:pPr>
        <w:pStyle w:val="Heading1"/>
      </w:pPr>
      <w:r>
        <w:t>Where things stand</w:t>
      </w:r>
    </w:p>
    <w:p>
      <w:pPr>
        <w:pStyle w:val="ListBullet"/>
        <w:spacing w:after="30" w:line="235" w:lineRule="auto"/>
      </w:pPr>
      <w:r>
        <w:t>Price history: working</w:t>
      </w:r>
    </w:p>
    <w:p>
      <w:pPr>
        <w:pStyle w:val="ListBullet"/>
        <w:spacing w:after="30" w:line="235" w:lineRule="auto"/>
      </w:pPr>
      <w:r>
        <w:t>Recommended Buy methodology: first explainable prototype complete</w:t>
      </w:r>
    </w:p>
    <w:p>
      <w:pPr>
        <w:pStyle w:val="ListBullet"/>
        <w:spacing w:after="30" w:line="235" w:lineRule="auto"/>
      </w:pPr>
      <w:r>
        <w:t>Comparable groups: much cleaner and production/Python parity-checked</w:t>
      </w:r>
    </w:p>
    <w:p>
      <w:pPr>
        <w:pStyle w:val="ListBullet"/>
        <w:spacing w:after="30" w:line="235" w:lineRule="auto"/>
      </w:pPr>
      <w:r>
        <w:t>Liquidity methodology: designed, but the collection method is now the bottleneck</w:t>
      </w:r>
    </w:p>
    <w:p>
      <w:pPr>
        <w:pStyle w:val="ListBullet"/>
        <w:spacing w:after="30" w:line="235" w:lineRule="auto"/>
      </w:pPr>
      <w:r>
        <w:t>LLM fallback: still intentionally off in production</w:t>
      </w:r>
    </w:p>
    <w:p>
      <w:pPr>
        <w:pStyle w:val="Heading1"/>
      </w:pPr>
      <w:r>
        <w:t>Next move</w:t>
      </w:r>
    </w:p>
    <w:p>
      <w:r>
        <w:rPr>
          <w:b/>
        </w:rPr>
        <w:t xml:space="preserve">Redesign eBay history collection around a fixed time window. </w:t>
      </w:r>
      <w:r>
        <w:t>Instead of 'give me the 20 newest sales,' collect the same window (for example 90 days), save sales persistently, deduplicate by itemId, and record when a result is truncated.</w:t>
      </w:r>
    </w:p>
    <w:p>
      <w:r>
        <w:rPr>
          <w:b/>
        </w:rPr>
        <w:t xml:space="preserve">Why: </w:t>
      </w:r>
      <w:r>
        <w:t>once every card is observed over the same window, we can calibrate a real green/yellow/red liquidity indicator and decide how liquidity should affect Recommended Buy.</w:t>
      </w:r>
    </w:p>
    <w:sectPr w:rsidR="00FC693F" w:rsidRPr="0006063C" w:rsidSect="00034616">
      <w:footerReference w:type="default" r:id="rId9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A96"/>
        <w:sz w:val="16"/>
      </w:rPr>
      <w:t>Pokemon Pricing App - daily project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50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23B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21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