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18B2" w14:textId="77777777" w:rsidR="00065374" w:rsidRDefault="00065374" w:rsidP="00065374">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0D7D3152" wp14:editId="16D9C34D">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2ED8945D" w14:textId="75BDF732" w:rsidR="00065374" w:rsidRDefault="00065374" w:rsidP="00065374">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 xml:space="preserve">IT104 </w:t>
                            </w:r>
                            <w:r>
                              <w:rPr>
                                <w:rFonts w:ascii="Helvetica Neue Medium" w:hAnsi="Helvetica Neue Medium"/>
                                <w:color w:val="FFFFFF"/>
                                <w:sz w:val="58"/>
                                <w:szCs w:val="58"/>
                                <w:u w:color="FFFFFF"/>
                              </w:rPr>
                              <w:br/>
                            </w:r>
                            <w:r w:rsidRPr="00065374">
                              <w:rPr>
                                <w:rFonts w:ascii="Helvetica Neue Medium" w:hAnsi="Helvetica Neue Medium"/>
                                <w:color w:val="FFFFFF"/>
                                <w:sz w:val="58"/>
                                <w:szCs w:val="58"/>
                                <w:u w:color="FFFFFF"/>
                              </w:rPr>
                              <w:t>Access Control</w:t>
                            </w:r>
                            <w:r>
                              <w:rPr>
                                <w:rFonts w:ascii="Helvetica Neue Medium" w:hAnsi="Helvetica Neue Medium"/>
                                <w:color w:val="FFFFFF"/>
                                <w:sz w:val="58"/>
                                <w:szCs w:val="58"/>
                                <w:u w:color="FFFFFF"/>
                              </w:rPr>
                              <w:t xml:space="preserve">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0D7D3152"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filled="f" stroked="f" strokeweight="1pt">
                <v:stroke miterlimit="4"/>
                <v:textbox inset="4pt,4pt,4pt,4pt">
                  <w:txbxContent>
                    <w:p w14:paraId="2ED8945D" w14:textId="75BDF732" w:rsidR="00065374" w:rsidRDefault="00065374" w:rsidP="00065374">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IT10</w:t>
                      </w:r>
                      <w:r>
                        <w:rPr>
                          <w:rFonts w:ascii="Helvetica Neue Medium" w:hAnsi="Helvetica Neue Medium"/>
                          <w:color w:val="FFFFFF"/>
                          <w:sz w:val="58"/>
                          <w:szCs w:val="58"/>
                          <w:u w:color="FFFFFF"/>
                        </w:rPr>
                        <w:t>4</w:t>
                      </w:r>
                      <w:r>
                        <w:rPr>
                          <w:rFonts w:ascii="Helvetica Neue Medium" w:hAnsi="Helvetica Neue Medium"/>
                          <w:color w:val="FFFFFF"/>
                          <w:sz w:val="58"/>
                          <w:szCs w:val="58"/>
                          <w:u w:color="FFFFFF"/>
                        </w:rPr>
                        <w:t xml:space="preserve"> </w:t>
                      </w:r>
                      <w:r>
                        <w:rPr>
                          <w:rFonts w:ascii="Helvetica Neue Medium" w:hAnsi="Helvetica Neue Medium"/>
                          <w:color w:val="FFFFFF"/>
                          <w:sz w:val="58"/>
                          <w:szCs w:val="58"/>
                          <w:u w:color="FFFFFF"/>
                        </w:rPr>
                        <w:br/>
                      </w:r>
                      <w:r w:rsidRPr="00065374">
                        <w:rPr>
                          <w:rFonts w:ascii="Helvetica Neue Medium" w:hAnsi="Helvetica Neue Medium"/>
                          <w:color w:val="FFFFFF"/>
                          <w:sz w:val="58"/>
                          <w:szCs w:val="58"/>
                          <w:u w:color="FFFFFF"/>
                        </w:rPr>
                        <w:t>Access Control</w:t>
                      </w:r>
                      <w:r>
                        <w:rPr>
                          <w:rFonts w:ascii="Helvetica Neue Medium" w:hAnsi="Helvetica Neue Medium"/>
                          <w:color w:val="FFFFFF"/>
                          <w:sz w:val="58"/>
                          <w:szCs w:val="58"/>
                          <w:u w:color="FFFFFF"/>
                        </w:rPr>
                        <w:t xml:space="preserve">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3B261067" wp14:editId="3E50186F">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065374" w:rsidRPr="007C4040" w14:paraId="68537DDB"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5C06DDB" w14:textId="77777777" w:rsidR="00065374" w:rsidRPr="007C4040" w:rsidRDefault="00065374"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02433BA3" w14:textId="77777777" w:rsidR="00065374" w:rsidRPr="007C4040" w:rsidRDefault="00065374" w:rsidP="007C4040">
                                  <w:pPr>
                                    <w:pStyle w:val="S-Frontpage"/>
                                    <w:rPr>
                                      <w:rFonts w:hint="eastAsia"/>
                                      <w:sz w:val="20"/>
                                      <w:szCs w:val="20"/>
                                    </w:rPr>
                                  </w:pPr>
                                  <w:r w:rsidRPr="007C4040">
                                    <w:rPr>
                                      <w:sz w:val="20"/>
                                      <w:szCs w:val="20"/>
                                    </w:rPr>
                                    <w:t>Final</w:t>
                                  </w:r>
                                </w:p>
                              </w:tc>
                            </w:tr>
                            <w:tr w:rsidR="00065374" w:rsidRPr="007C4040" w14:paraId="55743A1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61029C1" w14:textId="77777777" w:rsidR="00065374" w:rsidRPr="007C4040" w:rsidRDefault="00065374"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151EB0E0" w14:textId="739F850C" w:rsidR="00065374" w:rsidRPr="007C4040" w:rsidRDefault="00065374" w:rsidP="007C4040">
                                  <w:pPr>
                                    <w:pStyle w:val="S-Frontpage"/>
                                    <w:rPr>
                                      <w:rFonts w:hint="eastAsia"/>
                                      <w:sz w:val="20"/>
                                      <w:szCs w:val="20"/>
                                    </w:rPr>
                                  </w:pPr>
                                  <w:r w:rsidRPr="007C4040">
                                    <w:rPr>
                                      <w:sz w:val="20"/>
                                      <w:szCs w:val="20"/>
                                    </w:rPr>
                                    <w:t>1.</w:t>
                                  </w:r>
                                  <w:r w:rsidR="001941D0">
                                    <w:rPr>
                                      <w:sz w:val="20"/>
                                      <w:szCs w:val="20"/>
                                    </w:rPr>
                                    <w:t>11</w:t>
                                  </w:r>
                                </w:p>
                              </w:tc>
                            </w:tr>
                            <w:tr w:rsidR="00065374" w:rsidRPr="007C4040" w14:paraId="7948820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6E597D0" w14:textId="77777777" w:rsidR="00065374" w:rsidRPr="007C4040" w:rsidRDefault="00065374"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10FDF263" w14:textId="77777777" w:rsidR="00065374" w:rsidRPr="007C4040" w:rsidRDefault="00065374" w:rsidP="007C4040">
                                  <w:pPr>
                                    <w:pStyle w:val="S-Frontpage"/>
                                    <w:rPr>
                                      <w:rFonts w:hint="eastAsia"/>
                                      <w:sz w:val="20"/>
                                      <w:szCs w:val="20"/>
                                    </w:rPr>
                                  </w:pPr>
                                  <w:r w:rsidRPr="007C4040">
                                    <w:rPr>
                                      <w:sz w:val="20"/>
                                      <w:szCs w:val="20"/>
                                    </w:rPr>
                                    <w:t>Confidential</w:t>
                                  </w:r>
                                </w:p>
                              </w:tc>
                            </w:tr>
                            <w:tr w:rsidR="00065374" w:rsidRPr="007C4040" w14:paraId="440EBC4B"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DB20E80" w14:textId="77777777" w:rsidR="00065374" w:rsidRPr="007C4040" w:rsidRDefault="00065374"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62E34659" w14:textId="77777777" w:rsidR="00065374" w:rsidRPr="007C4040" w:rsidRDefault="00065374" w:rsidP="007C4040">
                                  <w:pPr>
                                    <w:pStyle w:val="S-Frontpage"/>
                                    <w:rPr>
                                      <w:rFonts w:hint="eastAsia"/>
                                      <w:sz w:val="20"/>
                                      <w:szCs w:val="20"/>
                                    </w:rPr>
                                  </w:pPr>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p>
                              </w:tc>
                            </w:tr>
                            <w:tr w:rsidR="00065374" w:rsidRPr="007C4040" w14:paraId="3222A3F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45A5BAC" w14:textId="77777777" w:rsidR="00065374" w:rsidRPr="007C4040" w:rsidRDefault="00065374"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197B8178" w14:textId="77777777" w:rsidR="00065374" w:rsidRPr="007C4040" w:rsidRDefault="00065374" w:rsidP="007C4040">
                                  <w:pPr>
                                    <w:pStyle w:val="S-Frontpage"/>
                                    <w:rPr>
                                      <w:rFonts w:hint="eastAsia"/>
                                      <w:sz w:val="20"/>
                                      <w:szCs w:val="20"/>
                                    </w:rPr>
                                  </w:pPr>
                                  <w:r w:rsidRPr="007C4040">
                                    <w:rPr>
                                      <w:sz w:val="20"/>
                                      <w:szCs w:val="20"/>
                                    </w:rPr>
                                    <w:t>1705 Tech Avenue, Unit 3, Mississauga, ON, L4W 0A2, Canada</w:t>
                                  </w:r>
                                </w:p>
                              </w:tc>
                            </w:tr>
                          </w:tbl>
                          <w:p w14:paraId="75F956F4" w14:textId="77777777" w:rsidR="00065374" w:rsidRPr="007C4040" w:rsidRDefault="00065374" w:rsidP="00065374">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3B261067"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065374" w:rsidRPr="007C4040" w14:paraId="68537DDB"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5C06DDB" w14:textId="77777777" w:rsidR="00065374" w:rsidRPr="007C4040" w:rsidRDefault="00065374"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02433BA3" w14:textId="77777777" w:rsidR="00065374" w:rsidRPr="007C4040" w:rsidRDefault="00065374" w:rsidP="007C4040">
                            <w:pPr>
                              <w:pStyle w:val="S-Frontpage"/>
                              <w:rPr>
                                <w:rFonts w:hint="eastAsia"/>
                                <w:sz w:val="20"/>
                                <w:szCs w:val="20"/>
                              </w:rPr>
                            </w:pPr>
                            <w:r w:rsidRPr="007C4040">
                              <w:rPr>
                                <w:sz w:val="20"/>
                                <w:szCs w:val="20"/>
                              </w:rPr>
                              <w:t>Final</w:t>
                            </w:r>
                          </w:p>
                        </w:tc>
                      </w:tr>
                      <w:tr w:rsidR="00065374" w:rsidRPr="007C4040" w14:paraId="55743A1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61029C1" w14:textId="77777777" w:rsidR="00065374" w:rsidRPr="007C4040" w:rsidRDefault="00065374"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151EB0E0" w14:textId="739F850C" w:rsidR="00065374" w:rsidRPr="007C4040" w:rsidRDefault="00065374" w:rsidP="007C4040">
                            <w:pPr>
                              <w:pStyle w:val="S-Frontpage"/>
                              <w:rPr>
                                <w:rFonts w:hint="eastAsia"/>
                                <w:sz w:val="20"/>
                                <w:szCs w:val="20"/>
                              </w:rPr>
                            </w:pPr>
                            <w:r w:rsidRPr="007C4040">
                              <w:rPr>
                                <w:sz w:val="20"/>
                                <w:szCs w:val="20"/>
                              </w:rPr>
                              <w:t>1.</w:t>
                            </w:r>
                            <w:r w:rsidR="001941D0">
                              <w:rPr>
                                <w:sz w:val="20"/>
                                <w:szCs w:val="20"/>
                              </w:rPr>
                              <w:t>11</w:t>
                            </w:r>
                          </w:p>
                        </w:tc>
                      </w:tr>
                      <w:tr w:rsidR="00065374" w:rsidRPr="007C4040" w14:paraId="7948820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6E597D0" w14:textId="77777777" w:rsidR="00065374" w:rsidRPr="007C4040" w:rsidRDefault="00065374"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10FDF263" w14:textId="77777777" w:rsidR="00065374" w:rsidRPr="007C4040" w:rsidRDefault="00065374" w:rsidP="007C4040">
                            <w:pPr>
                              <w:pStyle w:val="S-Frontpage"/>
                              <w:rPr>
                                <w:rFonts w:hint="eastAsia"/>
                                <w:sz w:val="20"/>
                                <w:szCs w:val="20"/>
                              </w:rPr>
                            </w:pPr>
                            <w:r w:rsidRPr="007C4040">
                              <w:rPr>
                                <w:sz w:val="20"/>
                                <w:szCs w:val="20"/>
                              </w:rPr>
                              <w:t>Confidential</w:t>
                            </w:r>
                          </w:p>
                        </w:tc>
                      </w:tr>
                      <w:tr w:rsidR="00065374" w:rsidRPr="007C4040" w14:paraId="440EBC4B"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DB20E80" w14:textId="77777777" w:rsidR="00065374" w:rsidRPr="007C4040" w:rsidRDefault="00065374"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62E34659" w14:textId="77777777" w:rsidR="00065374" w:rsidRPr="007C4040" w:rsidRDefault="00065374" w:rsidP="007C4040">
                            <w:pPr>
                              <w:pStyle w:val="S-Frontpage"/>
                              <w:rPr>
                                <w:rFonts w:hint="eastAsia"/>
                                <w:sz w:val="20"/>
                                <w:szCs w:val="20"/>
                              </w:rPr>
                            </w:pPr>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p>
                        </w:tc>
                      </w:tr>
                      <w:tr w:rsidR="00065374" w:rsidRPr="007C4040" w14:paraId="3222A3F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45A5BAC" w14:textId="77777777" w:rsidR="00065374" w:rsidRPr="007C4040" w:rsidRDefault="00065374"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197B8178" w14:textId="77777777" w:rsidR="00065374" w:rsidRPr="007C4040" w:rsidRDefault="00065374" w:rsidP="007C4040">
                            <w:pPr>
                              <w:pStyle w:val="S-Frontpage"/>
                              <w:rPr>
                                <w:rFonts w:hint="eastAsia"/>
                                <w:sz w:val="20"/>
                                <w:szCs w:val="20"/>
                              </w:rPr>
                            </w:pPr>
                            <w:r w:rsidRPr="007C4040">
                              <w:rPr>
                                <w:sz w:val="20"/>
                                <w:szCs w:val="20"/>
                              </w:rPr>
                              <w:t>1705 Tech Avenue, Unit 3, Mississauga, ON, L4W 0A2, Canada</w:t>
                            </w:r>
                          </w:p>
                        </w:tc>
                      </w:tr>
                    </w:tbl>
                    <w:p w14:paraId="75F956F4" w14:textId="77777777" w:rsidR="00065374" w:rsidRPr="007C4040" w:rsidRDefault="00065374" w:rsidP="00065374">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21C62C13" wp14:editId="4A958EE6">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6697D7A8" wp14:editId="6A393A85">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13ADC479"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3086EF23" wp14:editId="4390DDFE">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3535F8A3" w14:textId="77777777" w:rsidR="00065374" w:rsidRDefault="00065374" w:rsidP="00065374">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 xml:space="preserve">This document and supporting materials contain confidential and proprietary business information of </w:t>
                            </w:r>
                            <w:proofErr w:type="spellStart"/>
                            <w:r>
                              <w:rPr>
                                <w:rFonts w:ascii="Helvetica Neue" w:hAnsi="Helvetica Neue"/>
                                <w:b w:val="0"/>
                                <w:bCs w:val="0"/>
                                <w:i/>
                                <w:iCs/>
                                <w:caps w:val="0"/>
                                <w:color w:val="7F7F7F"/>
                                <w:sz w:val="14"/>
                                <w:szCs w:val="14"/>
                              </w:rPr>
                              <w:t>Signifi</w:t>
                            </w:r>
                            <w:proofErr w:type="spellEnd"/>
                            <w:r>
                              <w:rPr>
                                <w:rFonts w:ascii="Helvetica Neue" w:hAnsi="Helvetica Neue"/>
                                <w:b w:val="0"/>
                                <w:bCs w:val="0"/>
                                <w:i/>
                                <w:iCs/>
                                <w:caps w:val="0"/>
                                <w:color w:val="7F7F7F"/>
                                <w:sz w:val="14"/>
                                <w:szCs w:val="14"/>
                              </w:rPr>
                              <w:t xml:space="preserve">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3086EF23"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filled="f" stroked="f" strokeweight="1pt">
                <v:stroke miterlimit="4"/>
                <v:textbox inset="1.27mm,1.27mm,1.27mm,1.27mm">
                  <w:txbxContent>
                    <w:p w14:paraId="3535F8A3" w14:textId="77777777" w:rsidR="00065374" w:rsidRDefault="00065374" w:rsidP="00065374">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14:paraId="3191CF1B" w14:textId="31199EAE" w:rsidR="00AE0465" w:rsidRDefault="00AE0465" w:rsidP="00AE0465">
      <w:pPr>
        <w:pStyle w:val="DocumentTitle"/>
        <w:keepLines/>
        <w:rPr>
          <w:sz w:val="70"/>
          <w:szCs w:val="70"/>
        </w:rPr>
      </w:pPr>
    </w:p>
    <w:p w14:paraId="7DDCBBD7" w14:textId="181F2536" w:rsidR="006E3A7E" w:rsidRDefault="006E3A7E" w:rsidP="00AE0465"/>
    <w:p w14:paraId="7DE35710" w14:textId="159007D6" w:rsidR="006E3A7E" w:rsidRDefault="006E3A7E" w:rsidP="00AE0465"/>
    <w:p w14:paraId="51895C81" w14:textId="1DAEB0CF" w:rsidR="006E3A7E" w:rsidRDefault="006E3A7E" w:rsidP="00AE0465"/>
    <w:p w14:paraId="51C1B6E9" w14:textId="77777777" w:rsidR="006E3A7E" w:rsidRDefault="006E3A7E" w:rsidP="00AE0465"/>
    <w:p w14:paraId="0511B48C" w14:textId="77777777" w:rsidR="00E22C5E" w:rsidRDefault="00E22C5E" w:rsidP="00AE0465"/>
    <w:p w14:paraId="0CBA861A" w14:textId="77777777" w:rsidR="00AE0465" w:rsidRDefault="00AE0465" w:rsidP="00AE0465"/>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Pr="002B421A" w:rsidRDefault="00AE0465" w:rsidP="00AE0465">
          <w:pPr>
            <w:pStyle w:val="TOCHeading"/>
            <w:rPr>
              <w:sz w:val="24"/>
              <w:szCs w:val="24"/>
            </w:rPr>
          </w:pPr>
        </w:p>
        <w:p w14:paraId="7789BC6B" w14:textId="5800898C" w:rsidR="00AA3A12" w:rsidRPr="002B421A" w:rsidRDefault="00AE0465">
          <w:pPr>
            <w:pStyle w:val="TOC1"/>
            <w:rPr>
              <w:rFonts w:eastAsiaTheme="minorEastAsia"/>
              <w:noProof/>
              <w:sz w:val="24"/>
              <w:szCs w:val="24"/>
              <w:lang w:val="en-CA" w:eastAsia="en-CA"/>
            </w:rPr>
          </w:pPr>
          <w:r w:rsidRPr="002B421A">
            <w:rPr>
              <w:rStyle w:val="BookTitle"/>
              <w:sz w:val="24"/>
              <w:szCs w:val="24"/>
            </w:rPr>
            <w:fldChar w:fldCharType="begin"/>
          </w:r>
          <w:r w:rsidRPr="002B421A">
            <w:rPr>
              <w:rStyle w:val="BookTitle"/>
              <w:sz w:val="24"/>
              <w:szCs w:val="24"/>
            </w:rPr>
            <w:instrText xml:space="preserve"> TOC \o "1-1" \h \z \u </w:instrText>
          </w:r>
          <w:r w:rsidRPr="002B421A">
            <w:rPr>
              <w:rStyle w:val="BookTitle"/>
              <w:sz w:val="24"/>
              <w:szCs w:val="24"/>
            </w:rPr>
            <w:fldChar w:fldCharType="separate"/>
          </w:r>
          <w:hyperlink w:anchor="_Toc23870960" w:history="1">
            <w:r w:rsidR="00AA3A12" w:rsidRPr="002B421A">
              <w:rPr>
                <w:rStyle w:val="Hyperlink"/>
                <w:noProof/>
                <w:sz w:val="24"/>
                <w:szCs w:val="24"/>
              </w:rPr>
              <w:t>Document Control</w:t>
            </w:r>
            <w:r w:rsidR="00AA3A12" w:rsidRPr="002B421A">
              <w:rPr>
                <w:noProof/>
                <w:webHidden/>
                <w:sz w:val="24"/>
                <w:szCs w:val="24"/>
              </w:rPr>
              <w:tab/>
            </w:r>
            <w:r w:rsidR="00AA3A12" w:rsidRPr="002B421A">
              <w:rPr>
                <w:noProof/>
                <w:webHidden/>
                <w:sz w:val="24"/>
                <w:szCs w:val="24"/>
              </w:rPr>
              <w:fldChar w:fldCharType="begin"/>
            </w:r>
            <w:r w:rsidR="00AA3A12" w:rsidRPr="002B421A">
              <w:rPr>
                <w:noProof/>
                <w:webHidden/>
                <w:sz w:val="24"/>
                <w:szCs w:val="24"/>
              </w:rPr>
              <w:instrText xml:space="preserve"> PAGEREF _Toc23870960 \h </w:instrText>
            </w:r>
            <w:r w:rsidR="00AA3A12" w:rsidRPr="002B421A">
              <w:rPr>
                <w:noProof/>
                <w:webHidden/>
                <w:sz w:val="24"/>
                <w:szCs w:val="24"/>
              </w:rPr>
            </w:r>
            <w:r w:rsidR="00AA3A12" w:rsidRPr="002B421A">
              <w:rPr>
                <w:noProof/>
                <w:webHidden/>
                <w:sz w:val="24"/>
                <w:szCs w:val="24"/>
              </w:rPr>
              <w:fldChar w:fldCharType="separate"/>
            </w:r>
            <w:r w:rsidR="003F7912" w:rsidRPr="002B421A">
              <w:rPr>
                <w:noProof/>
                <w:webHidden/>
                <w:sz w:val="24"/>
                <w:szCs w:val="24"/>
              </w:rPr>
              <w:t>iii</w:t>
            </w:r>
            <w:r w:rsidR="00AA3A12" w:rsidRPr="002B421A">
              <w:rPr>
                <w:noProof/>
                <w:webHidden/>
                <w:sz w:val="24"/>
                <w:szCs w:val="24"/>
              </w:rPr>
              <w:fldChar w:fldCharType="end"/>
            </w:r>
          </w:hyperlink>
        </w:p>
        <w:p w14:paraId="7A0E57FE" w14:textId="214821F3" w:rsidR="00AA3A12" w:rsidRPr="002B421A" w:rsidRDefault="005E019A">
          <w:pPr>
            <w:pStyle w:val="TOC1"/>
            <w:rPr>
              <w:rFonts w:eastAsiaTheme="minorEastAsia"/>
              <w:noProof/>
              <w:sz w:val="24"/>
              <w:szCs w:val="24"/>
              <w:lang w:val="en-CA" w:eastAsia="en-CA"/>
            </w:rPr>
          </w:pPr>
          <w:hyperlink w:anchor="_Toc23870961" w:history="1">
            <w:r w:rsidR="00AA3A12" w:rsidRPr="002B421A">
              <w:rPr>
                <w:rStyle w:val="Hyperlink"/>
                <w:noProof/>
                <w:sz w:val="24"/>
                <w:szCs w:val="24"/>
              </w:rPr>
              <w:t>Introduction</w:t>
            </w:r>
            <w:r w:rsidR="00AA3A12" w:rsidRPr="002B421A">
              <w:rPr>
                <w:noProof/>
                <w:webHidden/>
                <w:sz w:val="24"/>
                <w:szCs w:val="24"/>
              </w:rPr>
              <w:tab/>
            </w:r>
            <w:r w:rsidR="00AA3A12" w:rsidRPr="002B421A">
              <w:rPr>
                <w:noProof/>
                <w:webHidden/>
                <w:sz w:val="24"/>
                <w:szCs w:val="24"/>
              </w:rPr>
              <w:fldChar w:fldCharType="begin"/>
            </w:r>
            <w:r w:rsidR="00AA3A12" w:rsidRPr="002B421A">
              <w:rPr>
                <w:noProof/>
                <w:webHidden/>
                <w:sz w:val="24"/>
                <w:szCs w:val="24"/>
              </w:rPr>
              <w:instrText xml:space="preserve"> PAGEREF _Toc23870961 \h </w:instrText>
            </w:r>
            <w:r w:rsidR="00AA3A12" w:rsidRPr="002B421A">
              <w:rPr>
                <w:noProof/>
                <w:webHidden/>
                <w:sz w:val="24"/>
                <w:szCs w:val="24"/>
              </w:rPr>
            </w:r>
            <w:r w:rsidR="00AA3A12" w:rsidRPr="002B421A">
              <w:rPr>
                <w:noProof/>
                <w:webHidden/>
                <w:sz w:val="24"/>
                <w:szCs w:val="24"/>
              </w:rPr>
              <w:fldChar w:fldCharType="separate"/>
            </w:r>
            <w:r w:rsidR="003F7912" w:rsidRPr="002B421A">
              <w:rPr>
                <w:noProof/>
                <w:webHidden/>
                <w:sz w:val="24"/>
                <w:szCs w:val="24"/>
              </w:rPr>
              <w:t>4</w:t>
            </w:r>
            <w:r w:rsidR="00AA3A12" w:rsidRPr="002B421A">
              <w:rPr>
                <w:noProof/>
                <w:webHidden/>
                <w:sz w:val="24"/>
                <w:szCs w:val="24"/>
              </w:rPr>
              <w:fldChar w:fldCharType="end"/>
            </w:r>
          </w:hyperlink>
        </w:p>
        <w:p w14:paraId="1352A6AF" w14:textId="4A730B93" w:rsidR="00AA3A12" w:rsidRPr="002B421A" w:rsidRDefault="005E019A">
          <w:pPr>
            <w:pStyle w:val="TOC1"/>
            <w:rPr>
              <w:rFonts w:eastAsiaTheme="minorEastAsia"/>
              <w:noProof/>
              <w:sz w:val="24"/>
              <w:szCs w:val="24"/>
              <w:lang w:val="en-CA" w:eastAsia="en-CA"/>
            </w:rPr>
          </w:pPr>
          <w:hyperlink w:anchor="_Toc23870962" w:history="1">
            <w:r w:rsidR="00AA3A12" w:rsidRPr="002B421A">
              <w:rPr>
                <w:rStyle w:val="Hyperlink"/>
                <w:noProof/>
                <w:sz w:val="24"/>
                <w:szCs w:val="24"/>
              </w:rPr>
              <w:t>Purpose</w:t>
            </w:r>
            <w:r w:rsidR="00AA3A12" w:rsidRPr="002B421A">
              <w:rPr>
                <w:noProof/>
                <w:webHidden/>
                <w:sz w:val="24"/>
                <w:szCs w:val="24"/>
              </w:rPr>
              <w:tab/>
            </w:r>
            <w:r w:rsidR="00AA3A12" w:rsidRPr="002B421A">
              <w:rPr>
                <w:noProof/>
                <w:webHidden/>
                <w:sz w:val="24"/>
                <w:szCs w:val="24"/>
              </w:rPr>
              <w:fldChar w:fldCharType="begin"/>
            </w:r>
            <w:r w:rsidR="00AA3A12" w:rsidRPr="002B421A">
              <w:rPr>
                <w:noProof/>
                <w:webHidden/>
                <w:sz w:val="24"/>
                <w:szCs w:val="24"/>
              </w:rPr>
              <w:instrText xml:space="preserve"> PAGEREF _Toc23870962 \h </w:instrText>
            </w:r>
            <w:r w:rsidR="00AA3A12" w:rsidRPr="002B421A">
              <w:rPr>
                <w:noProof/>
                <w:webHidden/>
                <w:sz w:val="24"/>
                <w:szCs w:val="24"/>
              </w:rPr>
            </w:r>
            <w:r w:rsidR="00AA3A12" w:rsidRPr="002B421A">
              <w:rPr>
                <w:noProof/>
                <w:webHidden/>
                <w:sz w:val="24"/>
                <w:szCs w:val="24"/>
              </w:rPr>
              <w:fldChar w:fldCharType="separate"/>
            </w:r>
            <w:r w:rsidR="003F7912" w:rsidRPr="002B421A">
              <w:rPr>
                <w:noProof/>
                <w:webHidden/>
                <w:sz w:val="24"/>
                <w:szCs w:val="24"/>
              </w:rPr>
              <w:t>4</w:t>
            </w:r>
            <w:r w:rsidR="00AA3A12" w:rsidRPr="002B421A">
              <w:rPr>
                <w:noProof/>
                <w:webHidden/>
                <w:sz w:val="24"/>
                <w:szCs w:val="24"/>
              </w:rPr>
              <w:fldChar w:fldCharType="end"/>
            </w:r>
          </w:hyperlink>
        </w:p>
        <w:p w14:paraId="64D14158" w14:textId="3C164225" w:rsidR="00AA3A12" w:rsidRPr="002B421A" w:rsidRDefault="005E019A">
          <w:pPr>
            <w:pStyle w:val="TOC1"/>
            <w:rPr>
              <w:rFonts w:eastAsiaTheme="minorEastAsia"/>
              <w:noProof/>
              <w:sz w:val="24"/>
              <w:szCs w:val="24"/>
              <w:lang w:val="en-CA" w:eastAsia="en-CA"/>
            </w:rPr>
          </w:pPr>
          <w:hyperlink w:anchor="_Toc23870963" w:history="1">
            <w:r w:rsidR="00AA3A12" w:rsidRPr="002B421A">
              <w:rPr>
                <w:rStyle w:val="Hyperlink"/>
                <w:noProof/>
                <w:sz w:val="24"/>
                <w:szCs w:val="24"/>
              </w:rPr>
              <w:t>Audience</w:t>
            </w:r>
            <w:r w:rsidR="00AA3A12" w:rsidRPr="002B421A">
              <w:rPr>
                <w:noProof/>
                <w:webHidden/>
                <w:sz w:val="24"/>
                <w:szCs w:val="24"/>
              </w:rPr>
              <w:tab/>
            </w:r>
            <w:r w:rsidR="00AA3A12" w:rsidRPr="002B421A">
              <w:rPr>
                <w:noProof/>
                <w:webHidden/>
                <w:sz w:val="24"/>
                <w:szCs w:val="24"/>
              </w:rPr>
              <w:fldChar w:fldCharType="begin"/>
            </w:r>
            <w:r w:rsidR="00AA3A12" w:rsidRPr="002B421A">
              <w:rPr>
                <w:noProof/>
                <w:webHidden/>
                <w:sz w:val="24"/>
                <w:szCs w:val="24"/>
              </w:rPr>
              <w:instrText xml:space="preserve"> PAGEREF _Toc23870963 \h </w:instrText>
            </w:r>
            <w:r w:rsidR="00AA3A12" w:rsidRPr="002B421A">
              <w:rPr>
                <w:noProof/>
                <w:webHidden/>
                <w:sz w:val="24"/>
                <w:szCs w:val="24"/>
              </w:rPr>
            </w:r>
            <w:r w:rsidR="00AA3A12" w:rsidRPr="002B421A">
              <w:rPr>
                <w:noProof/>
                <w:webHidden/>
                <w:sz w:val="24"/>
                <w:szCs w:val="24"/>
              </w:rPr>
              <w:fldChar w:fldCharType="separate"/>
            </w:r>
            <w:r w:rsidR="003F7912" w:rsidRPr="002B421A">
              <w:rPr>
                <w:noProof/>
                <w:webHidden/>
                <w:sz w:val="24"/>
                <w:szCs w:val="24"/>
              </w:rPr>
              <w:t>5</w:t>
            </w:r>
            <w:r w:rsidR="00AA3A12" w:rsidRPr="002B421A">
              <w:rPr>
                <w:noProof/>
                <w:webHidden/>
                <w:sz w:val="24"/>
                <w:szCs w:val="24"/>
              </w:rPr>
              <w:fldChar w:fldCharType="end"/>
            </w:r>
          </w:hyperlink>
        </w:p>
        <w:p w14:paraId="4AC4A888" w14:textId="0590A37D" w:rsidR="00AA3A12" w:rsidRPr="002B421A" w:rsidRDefault="005E019A">
          <w:pPr>
            <w:pStyle w:val="TOC1"/>
            <w:rPr>
              <w:rFonts w:eastAsiaTheme="minorEastAsia"/>
              <w:noProof/>
              <w:sz w:val="24"/>
              <w:szCs w:val="24"/>
              <w:lang w:val="en-CA" w:eastAsia="en-CA"/>
            </w:rPr>
          </w:pPr>
          <w:hyperlink w:anchor="_Toc23870964" w:history="1">
            <w:r w:rsidR="00AA3A12" w:rsidRPr="002B421A">
              <w:rPr>
                <w:rStyle w:val="Hyperlink"/>
                <w:noProof/>
                <w:sz w:val="24"/>
                <w:szCs w:val="24"/>
              </w:rPr>
              <w:t>Scope</w:t>
            </w:r>
            <w:r w:rsidR="00AA3A12" w:rsidRPr="002B421A">
              <w:rPr>
                <w:noProof/>
                <w:webHidden/>
                <w:sz w:val="24"/>
                <w:szCs w:val="24"/>
              </w:rPr>
              <w:tab/>
            </w:r>
            <w:r w:rsidR="00AA3A12" w:rsidRPr="002B421A">
              <w:rPr>
                <w:noProof/>
                <w:webHidden/>
                <w:sz w:val="24"/>
                <w:szCs w:val="24"/>
              </w:rPr>
              <w:fldChar w:fldCharType="begin"/>
            </w:r>
            <w:r w:rsidR="00AA3A12" w:rsidRPr="002B421A">
              <w:rPr>
                <w:noProof/>
                <w:webHidden/>
                <w:sz w:val="24"/>
                <w:szCs w:val="24"/>
              </w:rPr>
              <w:instrText xml:space="preserve"> PAGEREF _Toc23870964 \h </w:instrText>
            </w:r>
            <w:r w:rsidR="00AA3A12" w:rsidRPr="002B421A">
              <w:rPr>
                <w:noProof/>
                <w:webHidden/>
                <w:sz w:val="24"/>
                <w:szCs w:val="24"/>
              </w:rPr>
            </w:r>
            <w:r w:rsidR="00AA3A12" w:rsidRPr="002B421A">
              <w:rPr>
                <w:noProof/>
                <w:webHidden/>
                <w:sz w:val="24"/>
                <w:szCs w:val="24"/>
              </w:rPr>
              <w:fldChar w:fldCharType="separate"/>
            </w:r>
            <w:r w:rsidR="003F7912" w:rsidRPr="002B421A">
              <w:rPr>
                <w:noProof/>
                <w:webHidden/>
                <w:sz w:val="24"/>
                <w:szCs w:val="24"/>
              </w:rPr>
              <w:t>5</w:t>
            </w:r>
            <w:r w:rsidR="00AA3A12" w:rsidRPr="002B421A">
              <w:rPr>
                <w:noProof/>
                <w:webHidden/>
                <w:sz w:val="24"/>
                <w:szCs w:val="24"/>
              </w:rPr>
              <w:fldChar w:fldCharType="end"/>
            </w:r>
          </w:hyperlink>
        </w:p>
        <w:p w14:paraId="758241E5" w14:textId="630010B4" w:rsidR="00AA3A12" w:rsidRPr="002B421A" w:rsidRDefault="005E019A">
          <w:pPr>
            <w:pStyle w:val="TOC1"/>
            <w:rPr>
              <w:rFonts w:eastAsiaTheme="minorEastAsia"/>
              <w:noProof/>
              <w:sz w:val="24"/>
              <w:szCs w:val="24"/>
              <w:lang w:val="en-CA" w:eastAsia="en-CA"/>
            </w:rPr>
          </w:pPr>
          <w:hyperlink w:anchor="_Toc23870965" w:history="1">
            <w:r w:rsidR="00AA3A12" w:rsidRPr="002B421A">
              <w:rPr>
                <w:rStyle w:val="Hyperlink"/>
                <w:noProof/>
                <w:sz w:val="24"/>
                <w:szCs w:val="24"/>
              </w:rPr>
              <w:t>Policy Statement</w:t>
            </w:r>
            <w:r w:rsidR="00AA3A12" w:rsidRPr="002B421A">
              <w:rPr>
                <w:noProof/>
                <w:webHidden/>
                <w:sz w:val="24"/>
                <w:szCs w:val="24"/>
              </w:rPr>
              <w:tab/>
            </w:r>
            <w:r w:rsidR="00AA3A12" w:rsidRPr="002B421A">
              <w:rPr>
                <w:noProof/>
                <w:webHidden/>
                <w:sz w:val="24"/>
                <w:szCs w:val="24"/>
              </w:rPr>
              <w:fldChar w:fldCharType="begin"/>
            </w:r>
            <w:r w:rsidR="00AA3A12" w:rsidRPr="002B421A">
              <w:rPr>
                <w:noProof/>
                <w:webHidden/>
                <w:sz w:val="24"/>
                <w:szCs w:val="24"/>
              </w:rPr>
              <w:instrText xml:space="preserve"> PAGEREF _Toc23870965 \h </w:instrText>
            </w:r>
            <w:r w:rsidR="00AA3A12" w:rsidRPr="002B421A">
              <w:rPr>
                <w:noProof/>
                <w:webHidden/>
                <w:sz w:val="24"/>
                <w:szCs w:val="24"/>
              </w:rPr>
            </w:r>
            <w:r w:rsidR="00AA3A12" w:rsidRPr="002B421A">
              <w:rPr>
                <w:noProof/>
                <w:webHidden/>
                <w:sz w:val="24"/>
                <w:szCs w:val="24"/>
              </w:rPr>
              <w:fldChar w:fldCharType="separate"/>
            </w:r>
            <w:r w:rsidR="003F7912" w:rsidRPr="002B421A">
              <w:rPr>
                <w:noProof/>
                <w:webHidden/>
                <w:sz w:val="24"/>
                <w:szCs w:val="24"/>
              </w:rPr>
              <w:t>5</w:t>
            </w:r>
            <w:r w:rsidR="00AA3A12" w:rsidRPr="002B421A">
              <w:rPr>
                <w:noProof/>
                <w:webHidden/>
                <w:sz w:val="24"/>
                <w:szCs w:val="24"/>
              </w:rPr>
              <w:fldChar w:fldCharType="end"/>
            </w:r>
          </w:hyperlink>
        </w:p>
        <w:p w14:paraId="2126DBE3" w14:textId="1E1FA208" w:rsidR="00AA3A12" w:rsidRPr="002B421A" w:rsidRDefault="005E019A">
          <w:pPr>
            <w:pStyle w:val="TOC1"/>
            <w:rPr>
              <w:rFonts w:eastAsiaTheme="minorEastAsia"/>
              <w:noProof/>
              <w:sz w:val="24"/>
              <w:szCs w:val="24"/>
              <w:lang w:val="en-CA" w:eastAsia="en-CA"/>
            </w:rPr>
          </w:pPr>
          <w:hyperlink w:anchor="_Toc23870966" w:history="1">
            <w:r w:rsidR="00AA3A12" w:rsidRPr="002B421A">
              <w:rPr>
                <w:rStyle w:val="Hyperlink"/>
                <w:noProof/>
                <w:sz w:val="24"/>
                <w:szCs w:val="24"/>
              </w:rPr>
              <w:t>Enforcement</w:t>
            </w:r>
            <w:r w:rsidR="00AA3A12" w:rsidRPr="002B421A">
              <w:rPr>
                <w:noProof/>
                <w:webHidden/>
                <w:sz w:val="24"/>
                <w:szCs w:val="24"/>
              </w:rPr>
              <w:tab/>
            </w:r>
            <w:r w:rsidR="00AA3A12" w:rsidRPr="002B421A">
              <w:rPr>
                <w:noProof/>
                <w:webHidden/>
                <w:sz w:val="24"/>
                <w:szCs w:val="24"/>
              </w:rPr>
              <w:fldChar w:fldCharType="begin"/>
            </w:r>
            <w:r w:rsidR="00AA3A12" w:rsidRPr="002B421A">
              <w:rPr>
                <w:noProof/>
                <w:webHidden/>
                <w:sz w:val="24"/>
                <w:szCs w:val="24"/>
              </w:rPr>
              <w:instrText xml:space="preserve"> PAGEREF _Toc23870966 \h </w:instrText>
            </w:r>
            <w:r w:rsidR="00AA3A12" w:rsidRPr="002B421A">
              <w:rPr>
                <w:noProof/>
                <w:webHidden/>
                <w:sz w:val="24"/>
                <w:szCs w:val="24"/>
              </w:rPr>
            </w:r>
            <w:r w:rsidR="00AA3A12" w:rsidRPr="002B421A">
              <w:rPr>
                <w:noProof/>
                <w:webHidden/>
                <w:sz w:val="24"/>
                <w:szCs w:val="24"/>
              </w:rPr>
              <w:fldChar w:fldCharType="separate"/>
            </w:r>
            <w:r w:rsidR="003F7912" w:rsidRPr="002B421A">
              <w:rPr>
                <w:noProof/>
                <w:webHidden/>
                <w:sz w:val="24"/>
                <w:szCs w:val="24"/>
              </w:rPr>
              <w:t>10</w:t>
            </w:r>
            <w:r w:rsidR="00AA3A12" w:rsidRPr="002B421A">
              <w:rPr>
                <w:noProof/>
                <w:webHidden/>
                <w:sz w:val="24"/>
                <w:szCs w:val="24"/>
              </w:rPr>
              <w:fldChar w:fldCharType="end"/>
            </w:r>
          </w:hyperlink>
        </w:p>
        <w:p w14:paraId="6ACE6A4E" w14:textId="612EE514" w:rsidR="00AA3A12" w:rsidRPr="002B421A" w:rsidRDefault="005E019A">
          <w:pPr>
            <w:pStyle w:val="TOC1"/>
            <w:rPr>
              <w:rFonts w:eastAsiaTheme="minorEastAsia"/>
              <w:noProof/>
              <w:sz w:val="24"/>
              <w:szCs w:val="24"/>
              <w:lang w:val="en-CA" w:eastAsia="en-CA"/>
            </w:rPr>
          </w:pPr>
          <w:hyperlink w:anchor="_Toc23870967" w:history="1">
            <w:r w:rsidR="00AA3A12" w:rsidRPr="002B421A">
              <w:rPr>
                <w:rStyle w:val="Hyperlink"/>
                <w:noProof/>
                <w:sz w:val="24"/>
                <w:szCs w:val="24"/>
              </w:rPr>
              <w:t>Revision History</w:t>
            </w:r>
            <w:r w:rsidR="00AA3A12" w:rsidRPr="002B421A">
              <w:rPr>
                <w:noProof/>
                <w:webHidden/>
                <w:sz w:val="24"/>
                <w:szCs w:val="24"/>
              </w:rPr>
              <w:tab/>
            </w:r>
            <w:r w:rsidR="00AA3A12" w:rsidRPr="002B421A">
              <w:rPr>
                <w:noProof/>
                <w:webHidden/>
                <w:sz w:val="24"/>
                <w:szCs w:val="24"/>
              </w:rPr>
              <w:fldChar w:fldCharType="begin"/>
            </w:r>
            <w:r w:rsidR="00AA3A12" w:rsidRPr="002B421A">
              <w:rPr>
                <w:noProof/>
                <w:webHidden/>
                <w:sz w:val="24"/>
                <w:szCs w:val="24"/>
              </w:rPr>
              <w:instrText xml:space="preserve"> PAGEREF _Toc23870967 \h </w:instrText>
            </w:r>
            <w:r w:rsidR="00AA3A12" w:rsidRPr="002B421A">
              <w:rPr>
                <w:noProof/>
                <w:webHidden/>
                <w:sz w:val="24"/>
                <w:szCs w:val="24"/>
              </w:rPr>
            </w:r>
            <w:r w:rsidR="00AA3A12" w:rsidRPr="002B421A">
              <w:rPr>
                <w:noProof/>
                <w:webHidden/>
                <w:sz w:val="24"/>
                <w:szCs w:val="24"/>
              </w:rPr>
              <w:fldChar w:fldCharType="separate"/>
            </w:r>
            <w:r w:rsidR="003F7912" w:rsidRPr="002B421A">
              <w:rPr>
                <w:noProof/>
                <w:webHidden/>
                <w:sz w:val="24"/>
                <w:szCs w:val="24"/>
              </w:rPr>
              <w:t>10</w:t>
            </w:r>
            <w:r w:rsidR="00AA3A12" w:rsidRPr="002B421A">
              <w:rPr>
                <w:noProof/>
                <w:webHidden/>
                <w:sz w:val="24"/>
                <w:szCs w:val="24"/>
              </w:rPr>
              <w:fldChar w:fldCharType="end"/>
            </w:r>
          </w:hyperlink>
        </w:p>
        <w:p w14:paraId="118A2F58" w14:textId="689698C9" w:rsidR="00AE0465" w:rsidRDefault="00AE0465" w:rsidP="00C125CD">
          <w:pPr>
            <w:spacing w:after="240"/>
          </w:pPr>
          <w:r w:rsidRPr="002B421A">
            <w:rPr>
              <w:rStyle w:val="BookTitle"/>
              <w:sz w:val="24"/>
              <w:szCs w:val="24"/>
            </w:rPr>
            <w:fldChar w:fldCharType="end"/>
          </w:r>
        </w:p>
      </w:sdtContent>
    </w:sdt>
    <w:p w14:paraId="7D46EEA6" w14:textId="77777777" w:rsidR="00AE0465" w:rsidRPr="005169E3" w:rsidRDefault="00AE0465" w:rsidP="00AE0465"/>
    <w:p w14:paraId="160F473B" w14:textId="77777777" w:rsidR="00A422AD" w:rsidRPr="00A422AD" w:rsidRDefault="00AE0465" w:rsidP="00A422AD">
      <w:pPr>
        <w:pStyle w:val="S-SubHeading"/>
        <w:rPr>
          <w:rFonts w:hint="eastAsia"/>
          <w:color w:val="FF0000"/>
        </w:rPr>
      </w:pPr>
      <w:r>
        <w:rPr>
          <w:bCs/>
        </w:rPr>
        <w:br w:type="page"/>
      </w:r>
      <w:r w:rsidR="00A422AD" w:rsidRPr="00A422AD">
        <w:rPr>
          <w:color w:val="FF0000"/>
        </w:rPr>
        <w:lastRenderedPageBreak/>
        <w:t>All rights reserved</w:t>
      </w:r>
    </w:p>
    <w:p w14:paraId="632C6D49" w14:textId="77777777" w:rsidR="00A422AD" w:rsidRPr="00065374" w:rsidRDefault="00A422AD" w:rsidP="00A422AD">
      <w:pPr>
        <w:pStyle w:val="S-Body"/>
        <w:rPr>
          <w:rFonts w:hint="eastAsia"/>
          <w:lang w:val="en-US"/>
        </w:rPr>
      </w:pPr>
      <w:r w:rsidRPr="00065374">
        <w:rPr>
          <w:lang w:val="en-US"/>
        </w:rPr>
        <w:t xml:space="preserve">No part of this document may be reproduced in any form, including photocopying or transmission electronically to any computer, without prior written consent of </w:t>
      </w:r>
      <w:proofErr w:type="spellStart"/>
      <w:r w:rsidRPr="00065374">
        <w:rPr>
          <w:lang w:val="en-US"/>
        </w:rPr>
        <w:t>Signifi</w:t>
      </w:r>
      <w:proofErr w:type="spellEnd"/>
      <w:r w:rsidRPr="00065374">
        <w:rPr>
          <w:lang w:val="en-US"/>
        </w:rPr>
        <w:t xml:space="preserve"> Solutions Inc (from now on, </w:t>
      </w:r>
      <w:proofErr w:type="spellStart"/>
      <w:r w:rsidRPr="00065374">
        <w:rPr>
          <w:lang w:val="en-US"/>
        </w:rPr>
        <w:t>Signifi</w:t>
      </w:r>
      <w:proofErr w:type="spellEnd"/>
      <w:r w:rsidRPr="00065374">
        <w:rPr>
          <w:lang w:val="en-US"/>
        </w:rPr>
        <w:t xml:space="preserve">). The information contained in this document is proprietary to </w:t>
      </w:r>
      <w:proofErr w:type="spellStart"/>
      <w:r w:rsidRPr="00065374">
        <w:rPr>
          <w:lang w:val="en-US"/>
        </w:rPr>
        <w:t>Signifi</w:t>
      </w:r>
      <w:proofErr w:type="spellEnd"/>
      <w:r w:rsidRPr="00065374">
        <w:rPr>
          <w:lang w:val="en-US"/>
        </w:rPr>
        <w:t xml:space="preserve"> and may not be used or disclosed except as expressly authorized in writing by </w:t>
      </w:r>
      <w:proofErr w:type="spellStart"/>
      <w:r w:rsidRPr="00065374">
        <w:rPr>
          <w:lang w:val="en-US"/>
        </w:rPr>
        <w:t>Signifi</w:t>
      </w:r>
      <w:proofErr w:type="spellEnd"/>
      <w:r w:rsidRPr="00065374">
        <w:rPr>
          <w:lang w:val="en-US"/>
        </w:rPr>
        <w:t>.</w:t>
      </w:r>
    </w:p>
    <w:p w14:paraId="5D62D5BB" w14:textId="77777777" w:rsidR="0063211C" w:rsidRDefault="0063211C" w:rsidP="00A422AD">
      <w:pPr>
        <w:pStyle w:val="S-SubHeading"/>
        <w:rPr>
          <w:color w:val="FF0000"/>
        </w:rPr>
      </w:pPr>
    </w:p>
    <w:p w14:paraId="3A6974F8" w14:textId="4C4710F8" w:rsidR="00A422AD" w:rsidRPr="00A422AD" w:rsidRDefault="00A422AD" w:rsidP="00A422AD">
      <w:pPr>
        <w:pStyle w:val="S-SubHeading"/>
        <w:rPr>
          <w:rFonts w:hint="eastAsia"/>
          <w:color w:val="FF0000"/>
        </w:rPr>
      </w:pPr>
      <w:r w:rsidRPr="00A422AD">
        <w:rPr>
          <w:color w:val="FF0000"/>
        </w:rPr>
        <w:t>Trademarks</w:t>
      </w:r>
    </w:p>
    <w:p w14:paraId="253E528A" w14:textId="7AB913B3" w:rsidR="00AE0465" w:rsidRPr="0063211C" w:rsidRDefault="00A422AD" w:rsidP="00A422AD">
      <w:pPr>
        <w:rPr>
          <w:rFonts w:ascii="Arial" w:eastAsiaTheme="majorEastAsia" w:hAnsi="Arial" w:cs="Arial"/>
          <w:color w:val="000000" w:themeColor="text1"/>
          <w:sz w:val="24"/>
          <w:szCs w:val="24"/>
        </w:rPr>
      </w:pPr>
      <w:r w:rsidRPr="0063211C">
        <w:rPr>
          <w:rFonts w:ascii="Arial" w:hAnsi="Arial" w:cs="Arial"/>
          <w:color w:val="000000" w:themeColor="text1"/>
          <w:sz w:val="24"/>
          <w:szCs w:val="24"/>
        </w:rPr>
        <w:t>Other product names mentioned in this document may be trademarks or registered trademarks of their respective companies and are hereby acknowledged.</w:t>
      </w:r>
    </w:p>
    <w:p w14:paraId="62F131E7" w14:textId="77777777" w:rsidR="00AE0465" w:rsidRPr="001C26D8" w:rsidRDefault="00AE0465" w:rsidP="00AE0465">
      <w:pPr>
        <w:pStyle w:val="Heading3"/>
        <w:spacing w:line="240" w:lineRule="auto"/>
        <w:rPr>
          <w:bCs w:val="0"/>
        </w:rPr>
        <w:sectPr w:rsidR="00AE0465" w:rsidRPr="001C26D8" w:rsidSect="006B6EFD">
          <w:pgSz w:w="12240" w:h="15840"/>
          <w:pgMar w:top="1440" w:right="1440" w:bottom="1440" w:left="1440" w:header="5760" w:footer="3600" w:gutter="0"/>
          <w:cols w:space="720"/>
          <w:docGrid w:linePitch="360"/>
        </w:sectPr>
      </w:pPr>
    </w:p>
    <w:p w14:paraId="4F58627C" w14:textId="72379377" w:rsidR="00AE0465" w:rsidRPr="0063211C" w:rsidRDefault="0063211C" w:rsidP="0063211C">
      <w:pPr>
        <w:pStyle w:val="S-Body"/>
        <w:rPr>
          <w:rFonts w:hint="eastAsia"/>
          <w:color w:val="FF0000"/>
          <w:sz w:val="32"/>
          <w:szCs w:val="32"/>
          <w:lang w:val="en-US"/>
        </w:rPr>
      </w:pPr>
      <w:bookmarkStart w:id="0" w:name="_Toc384992278"/>
      <w:bookmarkStart w:id="1" w:name="_Toc23870960"/>
      <w:bookmarkStart w:id="2" w:name="_Toc23870866"/>
      <w:r w:rsidRPr="0063211C">
        <w:rPr>
          <w:color w:val="FF0000"/>
          <w:sz w:val="32"/>
          <w:szCs w:val="32"/>
          <w:lang w:val="en-US"/>
        </w:rPr>
        <w:lastRenderedPageBreak/>
        <w:t>D</w:t>
      </w:r>
      <w:r w:rsidR="00AE0465" w:rsidRPr="0063211C">
        <w:rPr>
          <w:color w:val="FF0000"/>
          <w:sz w:val="32"/>
          <w:szCs w:val="32"/>
          <w:lang w:val="en-US"/>
        </w:rPr>
        <w:t>ocument Control</w:t>
      </w:r>
      <w:bookmarkEnd w:id="0"/>
      <w:bookmarkEnd w:id="1"/>
      <w:bookmarkEnd w:id="2"/>
    </w:p>
    <w:p w14:paraId="0CC70C56" w14:textId="1531D351" w:rsidR="00AE0465" w:rsidRPr="000D6161" w:rsidRDefault="00017B53" w:rsidP="00065374">
      <w:pPr>
        <w:pStyle w:val="S-Body"/>
        <w:rPr>
          <w:rFonts w:hint="eastAsia"/>
        </w:rPr>
      </w:pPr>
      <w:r w:rsidRPr="000D6161">
        <w:t>The electronic version of this document is recognized as the only valid version.</w:t>
      </w:r>
    </w:p>
    <w:p w14:paraId="6328AA8D" w14:textId="77777777" w:rsidR="00AE0465" w:rsidRPr="00AE0465" w:rsidRDefault="00AE0465" w:rsidP="00065374">
      <w:pPr>
        <w:pStyle w:val="S-Body"/>
        <w:rPr>
          <w:rFonts w:hint="eastAsia"/>
        </w:rPr>
      </w:pPr>
    </w:p>
    <w:p w14:paraId="137BFCF6" w14:textId="77777777" w:rsidR="00065374" w:rsidRPr="00AE0465" w:rsidRDefault="00065374" w:rsidP="00065374"/>
    <w:p w14:paraId="16A4228A" w14:textId="77777777" w:rsidR="00065374" w:rsidRDefault="00065374" w:rsidP="00065374">
      <w:pPr>
        <w:pStyle w:val="S-SubHeading"/>
        <w:rPr>
          <w:rFonts w:ascii="Tw Cen MT Condensed Extra Bold" w:eastAsia="Tw Cen MT Condensed Extra Bold" w:hAnsi="Tw Cen MT Condensed Extra Bold" w:cs="Tw Cen MT Condensed Extra Bold"/>
          <w:sz w:val="32"/>
          <w:szCs w:val="32"/>
        </w:rPr>
      </w:pPr>
      <w:bookmarkStart w:id="3"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065374" w14:paraId="62AAB315" w14:textId="77777777" w:rsidTr="001941D0">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31CDD250" w14:textId="77777777" w:rsidR="00065374" w:rsidRDefault="00065374" w:rsidP="00306DF9">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400A1A29" w14:textId="77777777" w:rsidR="00065374" w:rsidRDefault="00065374" w:rsidP="00306DF9">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5E9A5B3A" w14:textId="77777777" w:rsidR="00065374" w:rsidRDefault="00065374" w:rsidP="00306DF9">
            <w:pPr>
              <w:pStyle w:val="S-Table-Heading"/>
              <w:rPr>
                <w:rFonts w:hint="eastAsia"/>
              </w:rPr>
            </w:pPr>
            <w:r>
              <w:t>APPROVED DATE</w:t>
            </w:r>
          </w:p>
        </w:tc>
      </w:tr>
      <w:tr w:rsidR="0000183C" w14:paraId="6485E3F9" w14:textId="77777777" w:rsidTr="001941D0">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888970A" w14:textId="76ACF947" w:rsidR="0000183C" w:rsidRDefault="0000183C" w:rsidP="0000183C">
            <w:pPr>
              <w:pStyle w:val="S-Table-Cells"/>
            </w:pPr>
            <w:r w:rsidRPr="00D71B5A">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B173D50" w14:textId="64E41EB0" w:rsidR="0000183C" w:rsidRDefault="0000183C" w:rsidP="0000183C">
            <w:pPr>
              <w:pStyle w:val="S-Table-Cells"/>
            </w:pPr>
            <w:r w:rsidRPr="00D71B5A">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598085E" w14:textId="1E7A368F" w:rsidR="0000183C" w:rsidRDefault="0000183C" w:rsidP="0000183C">
            <w:pPr>
              <w:pStyle w:val="S-Table-Cells"/>
            </w:pPr>
            <w:r w:rsidRPr="00D71B5A">
              <w:rPr>
                <w:rFonts w:hint="eastAsia"/>
              </w:rPr>
              <w:t>December 23</w:t>
            </w:r>
            <w:r w:rsidRPr="00D71B5A">
              <w:rPr>
                <w:rFonts w:hint="eastAsia"/>
                <w:vertAlign w:val="superscript"/>
              </w:rPr>
              <w:t>rd</w:t>
            </w:r>
            <w:r w:rsidRPr="00D71B5A">
              <w:rPr>
                <w:rFonts w:hint="eastAsia"/>
              </w:rPr>
              <w:t>, 2021</w:t>
            </w:r>
          </w:p>
        </w:tc>
      </w:tr>
      <w:tr w:rsidR="0000183C" w14:paraId="0E4360E8" w14:textId="77777777" w:rsidTr="001941D0">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9A525DD" w14:textId="77777777" w:rsidR="0000183C" w:rsidRDefault="0000183C" w:rsidP="0000183C">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FAA6514" w14:textId="77777777" w:rsidR="0000183C" w:rsidRDefault="0000183C" w:rsidP="0000183C">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6F48948" w14:textId="1F228EE2" w:rsidR="0000183C" w:rsidRDefault="0000183C" w:rsidP="0000183C">
            <w:pPr>
              <w:pStyle w:val="S-Table-Cells"/>
              <w:rPr>
                <w:rFonts w:hint="eastAsia"/>
              </w:rPr>
            </w:pPr>
            <w:r>
              <w:t>December 7</w:t>
            </w:r>
            <w:r w:rsidRPr="00FF52E1">
              <w:rPr>
                <w:vertAlign w:val="superscript"/>
              </w:rPr>
              <w:t>th</w:t>
            </w:r>
            <w:r>
              <w:t>, 2020</w:t>
            </w:r>
          </w:p>
        </w:tc>
      </w:tr>
      <w:tr w:rsidR="0000183C" w14:paraId="77EB7555" w14:textId="77777777" w:rsidTr="001941D0">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39D0D28" w14:textId="77777777" w:rsidR="0000183C" w:rsidRDefault="0000183C" w:rsidP="0000183C">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B0E6B16" w14:textId="77777777" w:rsidR="0000183C" w:rsidRDefault="0000183C" w:rsidP="0000183C">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32EDD45" w14:textId="77777777" w:rsidR="0000183C" w:rsidRDefault="0000183C" w:rsidP="0000183C">
            <w:pPr>
              <w:pStyle w:val="S-Table-Cells"/>
              <w:rPr>
                <w:rFonts w:hint="eastAsia"/>
              </w:rPr>
            </w:pPr>
            <w:r>
              <w:t>December 13</w:t>
            </w:r>
            <w:r w:rsidRPr="00FF52E1">
              <w:rPr>
                <w:vertAlign w:val="superscript"/>
              </w:rPr>
              <w:t>th</w:t>
            </w:r>
            <w:r>
              <w:t>, 2019</w:t>
            </w:r>
          </w:p>
        </w:tc>
      </w:tr>
      <w:tr w:rsidR="0000183C" w14:paraId="2020C408" w14:textId="77777777" w:rsidTr="001941D0">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9E95E47" w14:textId="77777777" w:rsidR="0000183C" w:rsidRDefault="0000183C" w:rsidP="0000183C"/>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8D293E6" w14:textId="77777777" w:rsidR="0000183C" w:rsidRDefault="0000183C" w:rsidP="0000183C"/>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180AAAE" w14:textId="77777777" w:rsidR="0000183C" w:rsidRDefault="0000183C" w:rsidP="0000183C"/>
        </w:tc>
      </w:tr>
      <w:tr w:rsidR="0000183C" w14:paraId="617D02A1" w14:textId="77777777" w:rsidTr="001941D0">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240D332F" w14:textId="77777777" w:rsidR="0000183C" w:rsidRDefault="0000183C" w:rsidP="0000183C"/>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29716878" w14:textId="77777777" w:rsidR="0000183C" w:rsidRDefault="0000183C" w:rsidP="0000183C"/>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7EC187A0" w14:textId="77777777" w:rsidR="0000183C" w:rsidRDefault="0000183C" w:rsidP="0000183C"/>
        </w:tc>
      </w:tr>
    </w:tbl>
    <w:p w14:paraId="577BA4C1" w14:textId="77777777" w:rsidR="00AE0465" w:rsidRPr="00065374" w:rsidRDefault="00AE0465" w:rsidP="00065374">
      <w:pPr>
        <w:pStyle w:val="S-SubHeading"/>
        <w:rPr>
          <w:rFonts w:ascii="Tw Cen MT Condensed Extra Bold" w:eastAsia="Tw Cen MT Condensed Extra Bold" w:hAnsi="Tw Cen MT Condensed Extra Bold" w:cs="Tw Cen MT Condensed Extra Bold"/>
          <w:sz w:val="32"/>
          <w:szCs w:val="32"/>
        </w:rPr>
      </w:pPr>
      <w:bookmarkStart w:id="4" w:name="_Toc384992280"/>
      <w:bookmarkEnd w:id="3"/>
      <w:r w:rsidRPr="00065374">
        <w:rPr>
          <w:rFonts w:ascii="Tw Cen MT Condensed Extra Bold" w:eastAsia="Tw Cen MT Condensed Extra Bold" w:hAnsi="Tw Cen MT Condensed Extra Bold" w:cs="Tw Cen MT Condensed Extra Bold"/>
          <w:sz w:val="32"/>
          <w:szCs w:val="32"/>
        </w:rPr>
        <w:t>Document Sensitivity Level</w:t>
      </w:r>
      <w:bookmarkEnd w:id="4"/>
    </w:p>
    <w:p w14:paraId="0005FFDA" w14:textId="01FB9D9F" w:rsidR="00AE0465" w:rsidRPr="000D6161" w:rsidRDefault="000D6161" w:rsidP="00065374">
      <w:pPr>
        <w:pStyle w:val="S-Body"/>
        <w:rPr>
          <w:rFonts w:ascii="Arial" w:hAnsi="Arial" w:cs="Arial"/>
          <w:sz w:val="17"/>
          <w:szCs w:val="17"/>
        </w:rPr>
        <w:sectPr w:rsidR="00AE0465" w:rsidRPr="000D6161" w:rsidSect="00BF3CD4">
          <w:headerReference w:type="default" r:id="rId12"/>
          <w:footerReference w:type="default" r:id="rId13"/>
          <w:pgSz w:w="12240" w:h="15840"/>
          <w:pgMar w:top="465" w:right="1440" w:bottom="1440" w:left="1440" w:header="447" w:footer="1152" w:gutter="0"/>
          <w:pgNumType w:fmt="lowerRoman" w:start="2"/>
          <w:cols w:space="720"/>
          <w:vAlign w:val="bottom"/>
          <w:docGrid w:linePitch="360"/>
        </w:sectPr>
      </w:pPr>
      <w:r>
        <w:t>Confidential</w:t>
      </w:r>
    </w:p>
    <w:p w14:paraId="013504AC" w14:textId="6DD681F1" w:rsidR="00AE0465" w:rsidRPr="0063211C" w:rsidRDefault="00AE0465" w:rsidP="00065374">
      <w:pPr>
        <w:pStyle w:val="S-Heading"/>
        <w:rPr>
          <w:color w:val="FF0000"/>
          <w:sz w:val="32"/>
          <w:szCs w:val="32"/>
        </w:rPr>
      </w:pPr>
      <w:bookmarkStart w:id="5" w:name="_Toc23870961"/>
      <w:bookmarkStart w:id="6" w:name="_Toc23870867"/>
      <w:r w:rsidRPr="0063211C">
        <w:rPr>
          <w:color w:val="FF0000"/>
          <w:sz w:val="32"/>
          <w:szCs w:val="32"/>
        </w:rPr>
        <w:lastRenderedPageBreak/>
        <w:t>Introduction</w:t>
      </w:r>
      <w:bookmarkEnd w:id="5"/>
      <w:bookmarkEnd w:id="6"/>
    </w:p>
    <w:p w14:paraId="2BD524AA" w14:textId="77777777" w:rsidR="00017B53" w:rsidRPr="000D6161" w:rsidRDefault="00017B53" w:rsidP="000D6161">
      <w:pPr>
        <w:spacing w:line="235" w:lineRule="auto"/>
        <w:ind w:right="280"/>
        <w:rPr>
          <w:b/>
          <w:bCs/>
          <w:sz w:val="24"/>
          <w:szCs w:val="24"/>
        </w:rPr>
      </w:pPr>
      <w:r w:rsidRPr="00065374">
        <w:rPr>
          <w:rFonts w:ascii="Helvetica Neue Medium" w:eastAsia="Arial Unicode MS" w:hAnsi="Helvetica Neue Medium" w:cs="Arial Unicode MS"/>
          <w:color w:val="666666"/>
          <w:sz w:val="30"/>
          <w:szCs w:val="30"/>
          <w:u w:color="000000"/>
          <w:bdr w:val="nil"/>
          <w:lang w:val="nl-NL" w:eastAsia="en-CA"/>
        </w:rPr>
        <w:t>Overview</w:t>
      </w:r>
    </w:p>
    <w:p w14:paraId="232D22BF" w14:textId="7B0BE4B3" w:rsidR="000D6161" w:rsidRDefault="00B73FD6" w:rsidP="00065374">
      <w:pPr>
        <w:pStyle w:val="S-Body"/>
        <w:rPr>
          <w:rFonts w:eastAsia="Calibri" w:cs="Arial"/>
          <w:szCs w:val="20"/>
        </w:rPr>
      </w:pPr>
      <w:r w:rsidRPr="00B73FD6">
        <w:t xml:space="preserve">Access to </w:t>
      </w:r>
      <w:proofErr w:type="spellStart"/>
      <w:r w:rsidR="00534E2D">
        <w:t>Signifi</w:t>
      </w:r>
      <w:proofErr w:type="spellEnd"/>
      <w:r w:rsidRPr="00B73FD6">
        <w:t xml:space="preserve"> information and systems is granted in a manner that balances restrictions to prevent unauthorized access versus the need to meet business requirements.</w:t>
      </w:r>
    </w:p>
    <w:p w14:paraId="194FAD65" w14:textId="77777777" w:rsidR="000D6161" w:rsidRDefault="000D6161" w:rsidP="00AE0465">
      <w:pPr>
        <w:spacing w:after="0"/>
        <w:ind w:left="720"/>
        <w:rPr>
          <w:rFonts w:eastAsia="Calibri" w:cs="Arial"/>
          <w:szCs w:val="20"/>
        </w:rPr>
      </w:pPr>
    </w:p>
    <w:p w14:paraId="35B5F691" w14:textId="77777777" w:rsidR="00AE0465" w:rsidRPr="0063211C" w:rsidRDefault="00AE0465" w:rsidP="00065374">
      <w:pPr>
        <w:pStyle w:val="S-Heading"/>
        <w:rPr>
          <w:color w:val="FF0000"/>
          <w:sz w:val="32"/>
          <w:szCs w:val="32"/>
        </w:rPr>
      </w:pPr>
      <w:bookmarkStart w:id="7" w:name="_Toc23870962"/>
      <w:bookmarkStart w:id="8" w:name="_Toc23870868"/>
      <w:r w:rsidRPr="0063211C">
        <w:rPr>
          <w:color w:val="FF0000"/>
          <w:sz w:val="32"/>
          <w:szCs w:val="32"/>
        </w:rPr>
        <w:t>Purpose</w:t>
      </w:r>
      <w:bookmarkEnd w:id="7"/>
      <w:bookmarkEnd w:id="8"/>
    </w:p>
    <w:p w14:paraId="14AB2E04" w14:textId="68ABB562" w:rsidR="00B73FD6" w:rsidRPr="00B73FD6" w:rsidRDefault="00B73FD6" w:rsidP="00065374">
      <w:pPr>
        <w:pStyle w:val="S-Body"/>
        <w:rPr>
          <w:rFonts w:hint="eastAsia"/>
        </w:rPr>
      </w:pPr>
      <w:r w:rsidRPr="00B73FD6">
        <w:t xml:space="preserve">The purpose of this policy is to provide access control requirements for the access to </w:t>
      </w:r>
      <w:proofErr w:type="spellStart"/>
      <w:r w:rsidR="00534E2D">
        <w:t>Signifi</w:t>
      </w:r>
      <w:proofErr w:type="spellEnd"/>
      <w:r w:rsidRPr="00B73FD6">
        <w:t xml:space="preserve"> information systems or information by </w:t>
      </w:r>
      <w:r w:rsidR="00534E2D">
        <w:t xml:space="preserve">employees, </w:t>
      </w:r>
      <w:proofErr w:type="gramStart"/>
      <w:r w:rsidRPr="00B73FD6">
        <w:t>associates</w:t>
      </w:r>
      <w:proofErr w:type="gramEnd"/>
      <w:r w:rsidRPr="00B73FD6">
        <w:t xml:space="preserve"> </w:t>
      </w:r>
      <w:r w:rsidR="00534E2D">
        <w:t xml:space="preserve">and contractors </w:t>
      </w:r>
      <w:r w:rsidRPr="00B73FD6">
        <w:t>to protect the:</w:t>
      </w:r>
    </w:p>
    <w:p w14:paraId="0610F944" w14:textId="72B3D91C" w:rsidR="00B73FD6" w:rsidRPr="00B73FD6" w:rsidRDefault="0063211C" w:rsidP="00065374">
      <w:pPr>
        <w:pStyle w:val="S-Body"/>
        <w:numPr>
          <w:ilvl w:val="0"/>
          <w:numId w:val="25"/>
        </w:numPr>
        <w:rPr>
          <w:rFonts w:hint="eastAsia"/>
        </w:rPr>
      </w:pPr>
      <w:r w:rsidRPr="00B73FD6">
        <w:t>Confidentiality.</w:t>
      </w:r>
      <w:r w:rsidR="00B73FD6" w:rsidRPr="00B73FD6">
        <w:t xml:space="preserve"> </w:t>
      </w:r>
    </w:p>
    <w:p w14:paraId="543766D1" w14:textId="77777777" w:rsidR="00B73FD6" w:rsidRPr="00B73FD6" w:rsidRDefault="00B73FD6" w:rsidP="00065374">
      <w:pPr>
        <w:pStyle w:val="S-Body"/>
        <w:numPr>
          <w:ilvl w:val="0"/>
          <w:numId w:val="25"/>
        </w:numPr>
        <w:rPr>
          <w:rFonts w:hint="eastAsia"/>
        </w:rPr>
      </w:pPr>
      <w:r w:rsidRPr="00B73FD6">
        <w:t xml:space="preserve">Integrity; and </w:t>
      </w:r>
    </w:p>
    <w:p w14:paraId="2781D018" w14:textId="3D6F89F2" w:rsidR="00B73FD6" w:rsidRPr="00B73FD6" w:rsidRDefault="00B73FD6" w:rsidP="00BC34D5">
      <w:pPr>
        <w:pStyle w:val="S-Body"/>
        <w:numPr>
          <w:ilvl w:val="0"/>
          <w:numId w:val="25"/>
        </w:numPr>
        <w:rPr>
          <w:rFonts w:hint="eastAsia"/>
        </w:rPr>
      </w:pPr>
      <w:r w:rsidRPr="00B73FD6">
        <w:t xml:space="preserve">Availability of information  </w:t>
      </w:r>
    </w:p>
    <w:p w14:paraId="3A18EE7A" w14:textId="1E5A5C93" w:rsidR="00B73FD6" w:rsidRDefault="00B73FD6" w:rsidP="00065374">
      <w:pPr>
        <w:pStyle w:val="S-Body"/>
        <w:rPr>
          <w:rFonts w:hint="eastAsia"/>
        </w:rPr>
      </w:pPr>
      <w:r w:rsidRPr="00B73FD6">
        <w:t>These controls must:</w:t>
      </w:r>
    </w:p>
    <w:p w14:paraId="69819C47" w14:textId="7F450056" w:rsidR="00B73FD6" w:rsidRPr="00B73FD6" w:rsidRDefault="00B73FD6" w:rsidP="00065374">
      <w:pPr>
        <w:pStyle w:val="S-Body"/>
        <w:numPr>
          <w:ilvl w:val="0"/>
          <w:numId w:val="26"/>
        </w:numPr>
        <w:rPr>
          <w:rFonts w:hint="eastAsia"/>
        </w:rPr>
      </w:pPr>
      <w:r w:rsidRPr="00B73FD6">
        <w:t xml:space="preserve">Define the information security responsibilities of all persons who have access to </w:t>
      </w:r>
      <w:proofErr w:type="spellStart"/>
      <w:r w:rsidR="00534E2D">
        <w:t>Signifi</w:t>
      </w:r>
      <w:proofErr w:type="spellEnd"/>
      <w:r w:rsidRPr="00B73FD6">
        <w:t xml:space="preserve"> systems. </w:t>
      </w:r>
    </w:p>
    <w:p w14:paraId="2C554774" w14:textId="26482210" w:rsidR="00B73FD6" w:rsidRPr="00B73FD6" w:rsidRDefault="00B73FD6" w:rsidP="00065374">
      <w:pPr>
        <w:pStyle w:val="S-Body"/>
        <w:numPr>
          <w:ilvl w:val="0"/>
          <w:numId w:val="26"/>
        </w:numPr>
        <w:rPr>
          <w:rFonts w:hint="eastAsia"/>
        </w:rPr>
      </w:pPr>
      <w:r w:rsidRPr="00B73FD6">
        <w:t xml:space="preserve">Ensure that only authorized persons are granted access to </w:t>
      </w:r>
      <w:proofErr w:type="spellStart"/>
      <w:r w:rsidR="00534E2D">
        <w:t>Signifi</w:t>
      </w:r>
      <w:proofErr w:type="spellEnd"/>
      <w:r w:rsidRPr="00B73FD6">
        <w:t xml:space="preserve"> </w:t>
      </w:r>
      <w:proofErr w:type="gramStart"/>
      <w:r w:rsidRPr="00B73FD6">
        <w:t>systems</w:t>
      </w:r>
      <w:proofErr w:type="gramEnd"/>
      <w:r w:rsidRPr="00B73FD6">
        <w:t xml:space="preserve"> and that personal accountability is assured. </w:t>
      </w:r>
    </w:p>
    <w:p w14:paraId="03D8E68D" w14:textId="77777777" w:rsidR="00583EC1" w:rsidRDefault="00B73FD6" w:rsidP="00065374">
      <w:pPr>
        <w:pStyle w:val="S-Body"/>
        <w:numPr>
          <w:ilvl w:val="0"/>
          <w:numId w:val="26"/>
        </w:numPr>
        <w:rPr>
          <w:rFonts w:hint="eastAsia"/>
        </w:rPr>
      </w:pPr>
      <w:r w:rsidRPr="00B73FD6">
        <w:t xml:space="preserve">Ensure that only authorized information systems are granted access to </w:t>
      </w:r>
      <w:proofErr w:type="spellStart"/>
      <w:r w:rsidR="00534E2D">
        <w:t>Signifi</w:t>
      </w:r>
      <w:proofErr w:type="spellEnd"/>
      <w:r w:rsidRPr="00B73FD6">
        <w:t xml:space="preserve"> environment.</w:t>
      </w:r>
    </w:p>
    <w:p w14:paraId="42C6E10D" w14:textId="317C2D0C" w:rsidR="00017B53" w:rsidRDefault="00B73FD6" w:rsidP="00065374">
      <w:pPr>
        <w:pStyle w:val="S-Body"/>
        <w:numPr>
          <w:ilvl w:val="0"/>
          <w:numId w:val="26"/>
        </w:numPr>
        <w:rPr>
          <w:rFonts w:hint="eastAsia"/>
        </w:rPr>
      </w:pPr>
      <w:r w:rsidRPr="00B73FD6">
        <w:t xml:space="preserve">Provide authorized persons or information systems with only the least </w:t>
      </w:r>
      <w:proofErr w:type="gramStart"/>
      <w:r w:rsidRPr="00B73FD6">
        <w:t>amount</w:t>
      </w:r>
      <w:proofErr w:type="gramEnd"/>
      <w:r w:rsidRPr="00B73FD6">
        <w:t xml:space="preserve"> of privileges that are sufficient to enable them to perform their duties but do not permit them to exceed their authority.</w:t>
      </w:r>
    </w:p>
    <w:p w14:paraId="20C0F13E" w14:textId="77777777" w:rsidR="00AE0465" w:rsidRDefault="00AE0465" w:rsidP="00AE0465">
      <w:pPr>
        <w:rPr>
          <w:lang w:eastAsia="en-CA"/>
        </w:rPr>
      </w:pPr>
    </w:p>
    <w:p w14:paraId="24F3A5D3" w14:textId="43A24E3C" w:rsidR="00AE0465" w:rsidRDefault="00AE0465" w:rsidP="00AE0465">
      <w:pPr>
        <w:rPr>
          <w:lang w:eastAsia="en-CA"/>
        </w:rPr>
      </w:pPr>
    </w:p>
    <w:p w14:paraId="68998763" w14:textId="77777777" w:rsidR="0063211C" w:rsidRDefault="0063211C" w:rsidP="00065374">
      <w:pPr>
        <w:pStyle w:val="S-Heading"/>
        <w:rPr>
          <w:color w:val="FF0000"/>
          <w:sz w:val="32"/>
          <w:szCs w:val="32"/>
        </w:rPr>
      </w:pPr>
      <w:bookmarkStart w:id="9" w:name="_Toc23870963"/>
      <w:bookmarkStart w:id="10" w:name="_Toc23870869"/>
    </w:p>
    <w:p w14:paraId="25E93483" w14:textId="497A0187" w:rsidR="00AE0465" w:rsidRPr="0063211C" w:rsidRDefault="00AE0465" w:rsidP="00065374">
      <w:pPr>
        <w:pStyle w:val="S-Heading"/>
        <w:rPr>
          <w:color w:val="FF0000"/>
          <w:sz w:val="32"/>
          <w:szCs w:val="32"/>
        </w:rPr>
      </w:pPr>
      <w:r w:rsidRPr="0063211C">
        <w:rPr>
          <w:color w:val="FF0000"/>
          <w:sz w:val="32"/>
          <w:szCs w:val="32"/>
        </w:rPr>
        <w:lastRenderedPageBreak/>
        <w:t>Audience</w:t>
      </w:r>
      <w:bookmarkEnd w:id="9"/>
      <w:bookmarkEnd w:id="10"/>
    </w:p>
    <w:p w14:paraId="044E1C5A" w14:textId="70F6BB8B" w:rsidR="000D6161" w:rsidRDefault="00B73FD6" w:rsidP="00065374">
      <w:pPr>
        <w:pStyle w:val="S-Body"/>
        <w:rPr>
          <w:rFonts w:hint="eastAsia"/>
        </w:rPr>
      </w:pPr>
      <w:r w:rsidRPr="00B73FD6">
        <w:t xml:space="preserve">This policy applies to all </w:t>
      </w:r>
      <w:proofErr w:type="spellStart"/>
      <w:r w:rsidR="00534E2D">
        <w:t>Signifi</w:t>
      </w:r>
      <w:proofErr w:type="spellEnd"/>
      <w:r w:rsidRPr="00B73FD6">
        <w:t xml:space="preserve"> </w:t>
      </w:r>
      <w:r w:rsidR="00E90DAA">
        <w:t xml:space="preserve">employees, </w:t>
      </w:r>
      <w:r w:rsidRPr="00B73FD6">
        <w:t xml:space="preserve">associates, part-time and temporary workers, trainees, </w:t>
      </w:r>
      <w:r w:rsidR="0063211C" w:rsidRPr="00B73FD6">
        <w:t>contractors</w:t>
      </w:r>
      <w:r w:rsidR="0063211C" w:rsidRPr="00B73FD6">
        <w:rPr>
          <w:rFonts w:hint="eastAsia"/>
        </w:rPr>
        <w:t>,</w:t>
      </w:r>
      <w:r w:rsidRPr="00B73FD6">
        <w:t xml:space="preserve"> and vendors.</w:t>
      </w:r>
    </w:p>
    <w:p w14:paraId="080854DD" w14:textId="77777777" w:rsidR="00AE0465" w:rsidRPr="0063211C" w:rsidRDefault="00AE0465" w:rsidP="00065374">
      <w:pPr>
        <w:pStyle w:val="S-Heading"/>
        <w:rPr>
          <w:color w:val="FF0000"/>
          <w:sz w:val="32"/>
          <w:szCs w:val="32"/>
        </w:rPr>
      </w:pPr>
      <w:bookmarkStart w:id="11" w:name="_Toc23870964"/>
      <w:bookmarkStart w:id="12" w:name="_Toc23870870"/>
      <w:r w:rsidRPr="0063211C">
        <w:rPr>
          <w:color w:val="FF0000"/>
          <w:sz w:val="32"/>
          <w:szCs w:val="32"/>
        </w:rPr>
        <w:t>Scope</w:t>
      </w:r>
      <w:bookmarkEnd w:id="11"/>
      <w:bookmarkEnd w:id="12"/>
    </w:p>
    <w:p w14:paraId="4F8429D4" w14:textId="1BD8279B" w:rsidR="000D6161" w:rsidRPr="000D6161" w:rsidRDefault="00B73FD6" w:rsidP="00065374">
      <w:pPr>
        <w:pStyle w:val="S-Body"/>
        <w:rPr>
          <w:rFonts w:hint="eastAsia"/>
        </w:rPr>
      </w:pPr>
      <w:r w:rsidRPr="00B73FD6">
        <w:t xml:space="preserve">This policy applies to all users which include but not limited to </w:t>
      </w:r>
      <w:r w:rsidR="00DA62C3">
        <w:t xml:space="preserve">employees, </w:t>
      </w:r>
      <w:r w:rsidRPr="00B73FD6">
        <w:t xml:space="preserve">associates, contractors, part-time and temporary workers, trainees, service providers, and those employed by others to perform work at hosted or outsourced sites, or who have been granted access to </w:t>
      </w:r>
      <w:proofErr w:type="spellStart"/>
      <w:r w:rsidR="00534E2D">
        <w:t>Signifi</w:t>
      </w:r>
      <w:proofErr w:type="spellEnd"/>
      <w:r w:rsidRPr="00B73FD6">
        <w:t xml:space="preserve"> information or systems. This policy applies to all </w:t>
      </w:r>
      <w:proofErr w:type="spellStart"/>
      <w:r w:rsidR="00534E2D">
        <w:t>Signifi</w:t>
      </w:r>
      <w:proofErr w:type="spellEnd"/>
      <w:r w:rsidRPr="00B73FD6">
        <w:t xml:space="preserve"> resources owned, leased, or supported by </w:t>
      </w:r>
      <w:proofErr w:type="spellStart"/>
      <w:r w:rsidR="00534E2D">
        <w:t>Signifi</w:t>
      </w:r>
      <w:proofErr w:type="spellEnd"/>
      <w:r w:rsidRPr="00B73FD6">
        <w:t xml:space="preserve">, or any outside entity that has signed a Vendor Access Agreement with </w:t>
      </w:r>
      <w:proofErr w:type="spellStart"/>
      <w:r w:rsidR="00534E2D">
        <w:t>Signifi</w:t>
      </w:r>
      <w:proofErr w:type="spellEnd"/>
      <w:r w:rsidR="00DA62C3">
        <w:t>.</w:t>
      </w:r>
    </w:p>
    <w:p w14:paraId="42AC6186" w14:textId="77777777" w:rsidR="00AE0465" w:rsidRDefault="00AE0465" w:rsidP="00AE0465">
      <w:pPr>
        <w:spacing w:after="0"/>
        <w:rPr>
          <w:rFonts w:eastAsia="Calibri" w:cs="Arial"/>
          <w:szCs w:val="20"/>
        </w:rPr>
      </w:pPr>
    </w:p>
    <w:p w14:paraId="225EB08A" w14:textId="3ABADE5A" w:rsidR="00AE0465" w:rsidRPr="0063211C" w:rsidRDefault="00AE0465" w:rsidP="00065374">
      <w:pPr>
        <w:pStyle w:val="S-Heading"/>
        <w:rPr>
          <w:color w:val="FF0000"/>
          <w:sz w:val="32"/>
          <w:szCs w:val="32"/>
        </w:rPr>
      </w:pPr>
      <w:bookmarkStart w:id="13" w:name="_Toc510450537"/>
      <w:bookmarkStart w:id="14" w:name="_Toc23870965"/>
      <w:bookmarkStart w:id="15" w:name="_Toc23870871"/>
      <w:r w:rsidRPr="0063211C">
        <w:rPr>
          <w:color w:val="FF0000"/>
          <w:sz w:val="32"/>
          <w:szCs w:val="32"/>
        </w:rPr>
        <w:t>Policy Statement</w:t>
      </w:r>
      <w:bookmarkEnd w:id="13"/>
      <w:bookmarkEnd w:id="14"/>
      <w:bookmarkEnd w:id="15"/>
    </w:p>
    <w:p w14:paraId="4DA14BE2" w14:textId="77777777" w:rsidR="00065374" w:rsidRDefault="006E66E3" w:rsidP="00065374">
      <w:pPr>
        <w:pStyle w:val="S-SubHeading"/>
        <w:numPr>
          <w:ilvl w:val="0"/>
          <w:numId w:val="27"/>
        </w:numPr>
        <w:rPr>
          <w:rFonts w:hint="eastAsia"/>
        </w:rPr>
      </w:pPr>
      <w:r>
        <w:t>Access Control</w:t>
      </w:r>
    </w:p>
    <w:p w14:paraId="3EAD5762" w14:textId="03F44901" w:rsidR="00065374" w:rsidRDefault="00065374" w:rsidP="009A445E">
      <w:pPr>
        <w:pStyle w:val="S-Body"/>
        <w:numPr>
          <w:ilvl w:val="1"/>
          <w:numId w:val="27"/>
        </w:numPr>
        <w:tabs>
          <w:tab w:val="left" w:pos="1134"/>
        </w:tabs>
        <w:ind w:left="993" w:hanging="567"/>
        <w:rPr>
          <w:rFonts w:hint="eastAsia"/>
        </w:rPr>
      </w:pPr>
      <w:r>
        <w:t xml:space="preserve">All employees using </w:t>
      </w:r>
      <w:proofErr w:type="spellStart"/>
      <w:r>
        <w:t>Signifi</w:t>
      </w:r>
      <w:proofErr w:type="spellEnd"/>
      <w:r>
        <w:t xml:space="preserve"> Information Technology resources must be authorized.  Access is governed by this policy and supporting procedures. The elements involved in controlling and monitoring access include identification, </w:t>
      </w:r>
      <w:proofErr w:type="gramStart"/>
      <w:r>
        <w:t>authorization</w:t>
      </w:r>
      <w:proofErr w:type="gramEnd"/>
      <w:r>
        <w:t xml:space="preserve"> and authentication.</w:t>
      </w:r>
    </w:p>
    <w:p w14:paraId="1AFE1F93" w14:textId="77777777" w:rsidR="00065374" w:rsidRDefault="00065374" w:rsidP="009A445E">
      <w:pPr>
        <w:pStyle w:val="S-Body"/>
        <w:numPr>
          <w:ilvl w:val="1"/>
          <w:numId w:val="27"/>
        </w:numPr>
        <w:tabs>
          <w:tab w:val="left" w:pos="1134"/>
        </w:tabs>
        <w:ind w:left="993" w:hanging="567"/>
        <w:rPr>
          <w:rFonts w:hint="eastAsia"/>
        </w:rPr>
      </w:pPr>
      <w:r>
        <w:t xml:space="preserve">Identification - All associates are assigned a unique ID to use in accessing the </w:t>
      </w:r>
      <w:proofErr w:type="spellStart"/>
      <w:r>
        <w:t>Signifi</w:t>
      </w:r>
      <w:proofErr w:type="spellEnd"/>
      <w:r>
        <w:t xml:space="preserve"> systems and applications. User IDs are not to be shared.  Associates are responsible for maintaining the security of their IDs and all activity occurring under those IDs.</w:t>
      </w:r>
    </w:p>
    <w:p w14:paraId="220DFD22" w14:textId="77777777" w:rsidR="00065374" w:rsidRDefault="00065374" w:rsidP="009A445E">
      <w:pPr>
        <w:pStyle w:val="S-Body"/>
        <w:numPr>
          <w:ilvl w:val="1"/>
          <w:numId w:val="27"/>
        </w:numPr>
        <w:tabs>
          <w:tab w:val="left" w:pos="1134"/>
        </w:tabs>
        <w:ind w:left="993" w:hanging="567"/>
        <w:rPr>
          <w:rFonts w:hint="eastAsia"/>
        </w:rPr>
      </w:pPr>
      <w:r>
        <w:t xml:space="preserve">Authorization - Only those associates who have valid reasons for accessing the </w:t>
      </w:r>
      <w:proofErr w:type="spellStart"/>
      <w:r>
        <w:t>Signifi</w:t>
      </w:r>
      <w:proofErr w:type="spellEnd"/>
      <w:r>
        <w:t xml:space="preserve"> systems and information are granted the least access privileges appropriate to their business requirements.</w:t>
      </w:r>
    </w:p>
    <w:p w14:paraId="0DB4B3B5" w14:textId="452FFD09" w:rsidR="00065374" w:rsidRDefault="00065374" w:rsidP="009A445E">
      <w:pPr>
        <w:pStyle w:val="S-Body"/>
        <w:numPr>
          <w:ilvl w:val="1"/>
          <w:numId w:val="27"/>
        </w:numPr>
        <w:tabs>
          <w:tab w:val="left" w:pos="1134"/>
        </w:tabs>
        <w:ind w:left="993" w:hanging="567"/>
        <w:rPr>
          <w:rFonts w:hint="eastAsia"/>
        </w:rPr>
      </w:pPr>
      <w:r>
        <w:t xml:space="preserve">Process to verify job application information for all users who will have access to </w:t>
      </w:r>
      <w:proofErr w:type="spellStart"/>
      <w:r>
        <w:t>Signifi</w:t>
      </w:r>
      <w:proofErr w:type="spellEnd"/>
      <w:r>
        <w:t xml:space="preserve"> systems. Verification methods may include:</w:t>
      </w:r>
    </w:p>
    <w:p w14:paraId="685EDCA0" w14:textId="77777777" w:rsidR="00065374" w:rsidRDefault="00065374" w:rsidP="009A445E">
      <w:pPr>
        <w:pStyle w:val="S-Body"/>
        <w:numPr>
          <w:ilvl w:val="1"/>
          <w:numId w:val="28"/>
        </w:numPr>
        <w:tabs>
          <w:tab w:val="left" w:pos="1418"/>
        </w:tabs>
        <w:ind w:left="993" w:firstLine="0"/>
        <w:rPr>
          <w:rFonts w:hint="eastAsia"/>
        </w:rPr>
      </w:pPr>
      <w:r>
        <w:t>Character or employment references</w:t>
      </w:r>
    </w:p>
    <w:p w14:paraId="1A42D6F8" w14:textId="77777777" w:rsidR="00065374" w:rsidRDefault="00065374" w:rsidP="009A445E">
      <w:pPr>
        <w:pStyle w:val="S-Body"/>
        <w:numPr>
          <w:ilvl w:val="1"/>
          <w:numId w:val="28"/>
        </w:numPr>
        <w:tabs>
          <w:tab w:val="left" w:pos="1418"/>
        </w:tabs>
        <w:ind w:left="1418" w:hanging="425"/>
        <w:rPr>
          <w:rFonts w:hint="eastAsia"/>
        </w:rPr>
      </w:pPr>
      <w:r>
        <w:lastRenderedPageBreak/>
        <w:t>Criminal record checks where possible taking into consideration employment arrangements of the organization and unions.</w:t>
      </w:r>
    </w:p>
    <w:p w14:paraId="113DB0B4" w14:textId="77777777" w:rsidR="00065374" w:rsidRDefault="00065374" w:rsidP="009A445E">
      <w:pPr>
        <w:pStyle w:val="S-Body"/>
        <w:numPr>
          <w:ilvl w:val="1"/>
          <w:numId w:val="28"/>
        </w:numPr>
        <w:tabs>
          <w:tab w:val="left" w:pos="1418"/>
        </w:tabs>
        <w:ind w:left="1418" w:hanging="425"/>
        <w:rPr>
          <w:rFonts w:hint="eastAsia"/>
        </w:rPr>
      </w:pPr>
      <w:r>
        <w:t>Verification of prior experience, academic record, and professional qualifications, and</w:t>
      </w:r>
    </w:p>
    <w:p w14:paraId="06B09D3F" w14:textId="0DAF9671" w:rsidR="00065374" w:rsidRDefault="00065374" w:rsidP="009A445E">
      <w:pPr>
        <w:pStyle w:val="S-Body"/>
        <w:numPr>
          <w:ilvl w:val="1"/>
          <w:numId w:val="28"/>
        </w:numPr>
        <w:tabs>
          <w:tab w:val="left" w:pos="1418"/>
        </w:tabs>
        <w:ind w:left="1418" w:hanging="425"/>
        <w:rPr>
          <w:rFonts w:hint="eastAsia"/>
        </w:rPr>
      </w:pPr>
      <w:r>
        <w:t>Verification of identity from government issued identification.</w:t>
      </w:r>
    </w:p>
    <w:p w14:paraId="408D21AD" w14:textId="77777777" w:rsidR="00065374" w:rsidRDefault="00065374" w:rsidP="009A445E">
      <w:pPr>
        <w:pStyle w:val="S-Body"/>
        <w:numPr>
          <w:ilvl w:val="1"/>
          <w:numId w:val="27"/>
        </w:numPr>
        <w:tabs>
          <w:tab w:val="left" w:pos="1134"/>
        </w:tabs>
        <w:ind w:left="993" w:hanging="567"/>
        <w:rPr>
          <w:rFonts w:hint="eastAsia"/>
        </w:rPr>
      </w:pPr>
      <w:r>
        <w:t>Authentication - Authentication ensures an identity. Each ID requires a technique, usually a password, for validating identity. Under certain conditions, vendors who support hardware or software may be granted system access. Such connections should also comply with appropriate identification, authorization, and authentication. Vendors should only be provided access for the duration required for the support request.  All vendors must complete and sign the Remote Vendor Access Agreement.</w:t>
      </w:r>
    </w:p>
    <w:p w14:paraId="0F42941C" w14:textId="776BB17E" w:rsidR="00394574" w:rsidRDefault="00065374" w:rsidP="009A445E">
      <w:pPr>
        <w:pStyle w:val="S-Body"/>
        <w:numPr>
          <w:ilvl w:val="1"/>
          <w:numId w:val="27"/>
        </w:numPr>
        <w:tabs>
          <w:tab w:val="left" w:pos="1134"/>
        </w:tabs>
        <w:ind w:left="993" w:hanging="567"/>
        <w:rPr>
          <w:rFonts w:hint="eastAsia"/>
        </w:rPr>
      </w:pPr>
      <w:r>
        <w:t>Limit access to system components containing Highly Confidential information, such as personal information data, to only those individuals whose job requires such access. Access limitations must include the following:</w:t>
      </w:r>
    </w:p>
    <w:p w14:paraId="35A54CF3" w14:textId="77777777" w:rsidR="00065374" w:rsidRDefault="00065374" w:rsidP="009A445E">
      <w:pPr>
        <w:pStyle w:val="S-Body"/>
        <w:numPr>
          <w:ilvl w:val="1"/>
          <w:numId w:val="29"/>
        </w:numPr>
        <w:ind w:left="1418" w:hanging="425"/>
        <w:rPr>
          <w:rFonts w:hint="eastAsia"/>
        </w:rPr>
      </w:pPr>
      <w:r>
        <w:t>Adhere to the concept of least privilege necessary</w:t>
      </w:r>
    </w:p>
    <w:p w14:paraId="2185E6CA" w14:textId="77777777" w:rsidR="00065374" w:rsidRDefault="00065374" w:rsidP="009A445E">
      <w:pPr>
        <w:pStyle w:val="S-Body"/>
        <w:numPr>
          <w:ilvl w:val="1"/>
          <w:numId w:val="29"/>
        </w:numPr>
        <w:ind w:left="1418" w:hanging="425"/>
        <w:rPr>
          <w:rFonts w:hint="eastAsia"/>
        </w:rPr>
      </w:pPr>
      <w:r>
        <w:t>Assignment of privileges is based on individual personnel’s role and function</w:t>
      </w:r>
    </w:p>
    <w:p w14:paraId="725C38BE" w14:textId="77777777" w:rsidR="00394574" w:rsidRDefault="00065374" w:rsidP="009A445E">
      <w:pPr>
        <w:pStyle w:val="S-Body"/>
        <w:numPr>
          <w:ilvl w:val="1"/>
          <w:numId w:val="29"/>
        </w:numPr>
        <w:ind w:left="1418" w:hanging="425"/>
        <w:rPr>
          <w:rFonts w:hint="eastAsia"/>
        </w:rPr>
      </w:pPr>
      <w:r>
        <w:t>Documented approval from authorized parties specifying the required privileges</w:t>
      </w:r>
    </w:p>
    <w:p w14:paraId="565F8324" w14:textId="75C49B08" w:rsidR="00394574" w:rsidRDefault="00065374" w:rsidP="009A445E">
      <w:pPr>
        <w:pStyle w:val="S-Body"/>
        <w:numPr>
          <w:ilvl w:val="1"/>
          <w:numId w:val="29"/>
        </w:numPr>
        <w:ind w:left="1418" w:hanging="425"/>
        <w:rPr>
          <w:rFonts w:hint="eastAsia"/>
        </w:rPr>
      </w:pPr>
      <w:r>
        <w:t>Consent must be attained from the user or Human Resourced department prior to any IT personnel accessing a user’s computer</w:t>
      </w:r>
    </w:p>
    <w:p w14:paraId="43393781" w14:textId="77777777" w:rsidR="00065374" w:rsidRDefault="00065374" w:rsidP="009A445E">
      <w:pPr>
        <w:pStyle w:val="S-Body"/>
        <w:numPr>
          <w:ilvl w:val="1"/>
          <w:numId w:val="27"/>
        </w:numPr>
        <w:tabs>
          <w:tab w:val="left" w:pos="1134"/>
        </w:tabs>
        <w:ind w:left="993" w:hanging="567"/>
        <w:rPr>
          <w:rFonts w:hint="eastAsia"/>
        </w:rPr>
      </w:pPr>
      <w:r>
        <w:t xml:space="preserve">Implementation of an automated access control system: </w:t>
      </w:r>
    </w:p>
    <w:p w14:paraId="0513280F" w14:textId="77777777" w:rsidR="00065374" w:rsidRDefault="00065374" w:rsidP="009A445E">
      <w:pPr>
        <w:pStyle w:val="S-Body"/>
        <w:numPr>
          <w:ilvl w:val="2"/>
          <w:numId w:val="27"/>
        </w:numPr>
        <w:tabs>
          <w:tab w:val="left" w:pos="1985"/>
        </w:tabs>
        <w:ind w:left="1560" w:hanging="709"/>
        <w:rPr>
          <w:rFonts w:hint="eastAsia"/>
        </w:rPr>
      </w:pPr>
      <w:r>
        <w:t>The purpose and level of access to be granted to a user shall be determined by the respective Data Owner and the access will be granted / implemented by IT. In some cases where the Data Owner is IT, both functions shall be performed by IT.</w:t>
      </w:r>
    </w:p>
    <w:p w14:paraId="4AF472E8" w14:textId="77777777" w:rsidR="00065374" w:rsidRDefault="00065374" w:rsidP="009A445E">
      <w:pPr>
        <w:pStyle w:val="S-Body"/>
        <w:numPr>
          <w:ilvl w:val="2"/>
          <w:numId w:val="27"/>
        </w:numPr>
        <w:tabs>
          <w:tab w:val="left" w:pos="1985"/>
        </w:tabs>
        <w:ind w:left="1560" w:hanging="709"/>
        <w:rPr>
          <w:rFonts w:hint="eastAsia"/>
        </w:rPr>
      </w:pPr>
      <w:r>
        <w:lastRenderedPageBreak/>
        <w:t>The level of access granted to an employee for access to information systems must support but not exceed what is necessary to perform his/her functional responsibilities and duties. Assignment of access rights must be based on an individual’s job function and responsibilities.</w:t>
      </w:r>
    </w:p>
    <w:p w14:paraId="1EE9159C" w14:textId="77777777" w:rsidR="00065374" w:rsidRDefault="00065374" w:rsidP="009A445E">
      <w:pPr>
        <w:pStyle w:val="S-Body"/>
        <w:numPr>
          <w:ilvl w:val="2"/>
          <w:numId w:val="27"/>
        </w:numPr>
        <w:tabs>
          <w:tab w:val="left" w:pos="1985"/>
        </w:tabs>
        <w:ind w:left="1560" w:hanging="709"/>
        <w:rPr>
          <w:rFonts w:hint="eastAsia"/>
        </w:rPr>
      </w:pPr>
      <w:r>
        <w:t xml:space="preserve">Employees shall be advised that access to any system and/or any transaction performed using their </w:t>
      </w:r>
      <w:proofErr w:type="spellStart"/>
      <w:r>
        <w:t>Signifi</w:t>
      </w:r>
      <w:proofErr w:type="spellEnd"/>
      <w:r>
        <w:t xml:space="preserve"> provided account may be logged, </w:t>
      </w:r>
      <w:proofErr w:type="gramStart"/>
      <w:r>
        <w:t>monitored</w:t>
      </w:r>
      <w:proofErr w:type="gramEnd"/>
      <w:r>
        <w:t xml:space="preserve"> or audited and that the associate shall be uniquely accountable for all transactions executed using their account by the associate.</w:t>
      </w:r>
    </w:p>
    <w:p w14:paraId="6EEEC7A7" w14:textId="77777777" w:rsidR="00065374" w:rsidRDefault="00065374" w:rsidP="009A445E">
      <w:pPr>
        <w:pStyle w:val="S-Body"/>
        <w:numPr>
          <w:ilvl w:val="2"/>
          <w:numId w:val="27"/>
        </w:numPr>
        <w:tabs>
          <w:tab w:val="left" w:pos="1985"/>
        </w:tabs>
        <w:ind w:left="1560" w:hanging="709"/>
        <w:rPr>
          <w:rFonts w:hint="eastAsia"/>
        </w:rPr>
      </w:pPr>
      <w:r>
        <w:t xml:space="preserve">The actions performed by IT Administrators who have access to Highly Confidential or Confidential information must be sent to a centralized logging solution that is not alterable by the IT Administrator who performed the activity.  This is intended to maintain the integrity of the logs and to preserve the actions taken for troubleshooting, </w:t>
      </w:r>
      <w:proofErr w:type="gramStart"/>
      <w:r>
        <w:t>audit</w:t>
      </w:r>
      <w:proofErr w:type="gramEnd"/>
      <w:r>
        <w:t xml:space="preserve"> and compliance purposes.</w:t>
      </w:r>
    </w:p>
    <w:p w14:paraId="596E4488" w14:textId="77777777" w:rsidR="00065374" w:rsidRDefault="00065374" w:rsidP="009A445E">
      <w:pPr>
        <w:pStyle w:val="S-Body"/>
        <w:numPr>
          <w:ilvl w:val="2"/>
          <w:numId w:val="27"/>
        </w:numPr>
        <w:tabs>
          <w:tab w:val="left" w:pos="1985"/>
        </w:tabs>
        <w:ind w:left="1560" w:hanging="709"/>
        <w:rPr>
          <w:rFonts w:hint="eastAsia"/>
        </w:rPr>
      </w:pPr>
      <w:r>
        <w:t xml:space="preserve">When some associate leaves </w:t>
      </w:r>
      <w:proofErr w:type="spellStart"/>
      <w:r>
        <w:t>Signifi</w:t>
      </w:r>
      <w:proofErr w:type="spellEnd"/>
      <w:r>
        <w:t>, all system privileges and access to data must be immediately disabled or removed.</w:t>
      </w:r>
    </w:p>
    <w:p w14:paraId="764800C7" w14:textId="77777777" w:rsidR="00065374" w:rsidRDefault="00065374" w:rsidP="009A445E">
      <w:pPr>
        <w:pStyle w:val="S-Body"/>
        <w:numPr>
          <w:ilvl w:val="2"/>
          <w:numId w:val="27"/>
        </w:numPr>
        <w:tabs>
          <w:tab w:val="left" w:pos="1985"/>
        </w:tabs>
        <w:ind w:left="1560" w:hanging="709"/>
        <w:rPr>
          <w:rFonts w:hint="eastAsia"/>
        </w:rPr>
      </w:pPr>
      <w:proofErr w:type="spellStart"/>
      <w:r>
        <w:t>Signifi</w:t>
      </w:r>
      <w:proofErr w:type="spellEnd"/>
      <w:r>
        <w:t xml:space="preserve"> Information Systems shall display an approved system banner message before access is granted.</w:t>
      </w:r>
    </w:p>
    <w:p w14:paraId="4352B74C" w14:textId="77777777" w:rsidR="00065374" w:rsidRDefault="00065374" w:rsidP="009A445E">
      <w:pPr>
        <w:pStyle w:val="S-Body"/>
        <w:numPr>
          <w:ilvl w:val="2"/>
          <w:numId w:val="27"/>
        </w:numPr>
        <w:tabs>
          <w:tab w:val="left" w:pos="1985"/>
        </w:tabs>
        <w:ind w:left="1560" w:hanging="709"/>
        <w:rPr>
          <w:rFonts w:hint="eastAsia"/>
        </w:rPr>
      </w:pPr>
      <w:r>
        <w:t>Business areas must periodically review access rights and privileges of their respective systems and notify Identity Management of any changes. In the event of unauthorized access to a system, the user admin shall immediately disable any accounts or permissions as it deems necessary and take other measures as may be appropriate to protect the information and systems.</w:t>
      </w:r>
    </w:p>
    <w:p w14:paraId="4F0B0D29" w14:textId="646E666E" w:rsidR="00394574" w:rsidRDefault="00065374" w:rsidP="009A445E">
      <w:pPr>
        <w:pStyle w:val="S-Body"/>
        <w:numPr>
          <w:ilvl w:val="1"/>
          <w:numId w:val="27"/>
        </w:numPr>
        <w:tabs>
          <w:tab w:val="left" w:pos="1134"/>
        </w:tabs>
        <w:ind w:left="993" w:hanging="567"/>
        <w:rPr>
          <w:rFonts w:hint="eastAsia"/>
        </w:rPr>
      </w:pPr>
      <w:r>
        <w:t xml:space="preserve">Maintain a list of all individuals that have access to </w:t>
      </w:r>
      <w:proofErr w:type="spellStart"/>
      <w:r>
        <w:t>Signifi</w:t>
      </w:r>
      <w:proofErr w:type="spellEnd"/>
      <w:r>
        <w:t xml:space="preserve"> systems. The list must include the following:</w:t>
      </w:r>
    </w:p>
    <w:p w14:paraId="012C6F48" w14:textId="77777777" w:rsidR="00065374" w:rsidRDefault="00065374" w:rsidP="009A445E">
      <w:pPr>
        <w:pStyle w:val="S-Body"/>
        <w:numPr>
          <w:ilvl w:val="1"/>
          <w:numId w:val="30"/>
        </w:numPr>
        <w:ind w:left="1560" w:hanging="567"/>
        <w:rPr>
          <w:rFonts w:hint="eastAsia"/>
        </w:rPr>
      </w:pPr>
      <w:r>
        <w:t>The ID, and</w:t>
      </w:r>
    </w:p>
    <w:p w14:paraId="14668D05" w14:textId="20B5D67B" w:rsidR="00065374" w:rsidRDefault="00065374" w:rsidP="009A445E">
      <w:pPr>
        <w:pStyle w:val="S-Body"/>
        <w:numPr>
          <w:ilvl w:val="1"/>
          <w:numId w:val="30"/>
        </w:numPr>
        <w:ind w:left="1560" w:hanging="567"/>
        <w:rPr>
          <w:rFonts w:hint="eastAsia"/>
        </w:rPr>
      </w:pPr>
      <w:r>
        <w:lastRenderedPageBreak/>
        <w:t>Person or information system’s details: Full name, department, and location, and contact information (email and telephone number (where available).</w:t>
      </w:r>
    </w:p>
    <w:p w14:paraId="05626E7F" w14:textId="2A2BCB62" w:rsidR="00065374" w:rsidRPr="0063211C" w:rsidRDefault="00394574" w:rsidP="00065374">
      <w:pPr>
        <w:pStyle w:val="S-SubHeading"/>
        <w:numPr>
          <w:ilvl w:val="0"/>
          <w:numId w:val="27"/>
        </w:numPr>
        <w:rPr>
          <w:rFonts w:hint="eastAsia"/>
          <w:color w:val="FF0000"/>
        </w:rPr>
      </w:pPr>
      <w:r w:rsidRPr="0063211C">
        <w:rPr>
          <w:color w:val="FF0000"/>
        </w:rPr>
        <w:t xml:space="preserve">Separate development, </w:t>
      </w:r>
      <w:r w:rsidR="0063211C" w:rsidRPr="0063211C">
        <w:rPr>
          <w:color w:val="FF0000"/>
        </w:rPr>
        <w:t>test</w:t>
      </w:r>
      <w:r w:rsidR="0063211C" w:rsidRPr="0063211C">
        <w:rPr>
          <w:rFonts w:hint="eastAsia"/>
          <w:color w:val="FF0000"/>
        </w:rPr>
        <w:t>,</w:t>
      </w:r>
      <w:r w:rsidRPr="0063211C">
        <w:rPr>
          <w:color w:val="FF0000"/>
        </w:rPr>
        <w:t xml:space="preserve"> and production environments</w:t>
      </w:r>
    </w:p>
    <w:p w14:paraId="513FB2AC" w14:textId="33EBBDB6" w:rsidR="00394574" w:rsidRDefault="00394574" w:rsidP="009A445E">
      <w:pPr>
        <w:pStyle w:val="S-Body"/>
        <w:numPr>
          <w:ilvl w:val="1"/>
          <w:numId w:val="27"/>
        </w:numPr>
        <w:ind w:left="993" w:hanging="633"/>
        <w:rPr>
          <w:rFonts w:hint="eastAsia"/>
        </w:rPr>
      </w:pPr>
      <w:r w:rsidRPr="00394574">
        <w:t xml:space="preserve">Without adequate separations between </w:t>
      </w:r>
      <w:r w:rsidR="0063211C" w:rsidRPr="00394574">
        <w:t>environments</w:t>
      </w:r>
      <w:r w:rsidR="0063211C" w:rsidRPr="00394574">
        <w:rPr>
          <w:rFonts w:hint="eastAsia"/>
        </w:rPr>
        <w:t>,</w:t>
      </w:r>
      <w:r w:rsidRPr="00394574">
        <w:t xml:space="preserve"> it may be possible for the production environment to be compromised due to vulnerabilities in a test or development environment if logical and/or physical separation has not been instituted. </w:t>
      </w:r>
      <w:proofErr w:type="spellStart"/>
      <w:r w:rsidRPr="00394574">
        <w:t>Signifi</w:t>
      </w:r>
      <w:proofErr w:type="spellEnd"/>
      <w:r w:rsidRPr="00394574">
        <w:t xml:space="preserve"> must maintain separate development, </w:t>
      </w:r>
      <w:proofErr w:type="gramStart"/>
      <w:r w:rsidRPr="00394574">
        <w:t>test</w:t>
      </w:r>
      <w:proofErr w:type="gramEnd"/>
      <w:r w:rsidRPr="00394574">
        <w:t xml:space="preserve"> and production environments.</w:t>
      </w:r>
    </w:p>
    <w:p w14:paraId="13B64C80" w14:textId="529FAB25" w:rsidR="00394574" w:rsidRDefault="00394574" w:rsidP="009A445E">
      <w:pPr>
        <w:pStyle w:val="S-Body"/>
        <w:numPr>
          <w:ilvl w:val="1"/>
          <w:numId w:val="27"/>
        </w:numPr>
        <w:ind w:left="993" w:hanging="633"/>
        <w:rPr>
          <w:rFonts w:hint="eastAsia"/>
        </w:rPr>
      </w:pPr>
      <w:r w:rsidRPr="00394574">
        <w:t>Production data such as live Primary Account Number (PANs) must not be used for testing or development purposes</w:t>
      </w:r>
      <w:r>
        <w:t>.</w:t>
      </w:r>
    </w:p>
    <w:p w14:paraId="7B8BCA52" w14:textId="55247B11" w:rsidR="00394574" w:rsidRDefault="00394574" w:rsidP="009A445E">
      <w:pPr>
        <w:pStyle w:val="S-Body"/>
        <w:numPr>
          <w:ilvl w:val="1"/>
          <w:numId w:val="27"/>
        </w:numPr>
        <w:ind w:left="993" w:hanging="633"/>
        <w:rPr>
          <w:rFonts w:hint="eastAsia"/>
        </w:rPr>
      </w:pPr>
      <w:r w:rsidRPr="00394574">
        <w:t>Always remove test data and change vendor-supplied defaults before installing a system on the network, including but not limited to passwords, simple network management protocol (SNMP) community strings, and elimination of unnecessary accounts</w:t>
      </w:r>
      <w:r>
        <w:t>.</w:t>
      </w:r>
    </w:p>
    <w:p w14:paraId="68714DE6" w14:textId="2B4C3345" w:rsidR="00065374" w:rsidRPr="0063211C" w:rsidRDefault="00394574" w:rsidP="00065374">
      <w:pPr>
        <w:pStyle w:val="S-SubHeading"/>
        <w:numPr>
          <w:ilvl w:val="0"/>
          <w:numId w:val="27"/>
        </w:numPr>
        <w:rPr>
          <w:rFonts w:hint="eastAsia"/>
          <w:color w:val="FF0000"/>
        </w:rPr>
      </w:pPr>
      <w:r w:rsidRPr="0063211C">
        <w:rPr>
          <w:color w:val="FF0000"/>
        </w:rPr>
        <w:t xml:space="preserve">Separation of duties between development, </w:t>
      </w:r>
      <w:r w:rsidR="0063211C" w:rsidRPr="0063211C">
        <w:rPr>
          <w:color w:val="FF0000"/>
        </w:rPr>
        <w:t>test</w:t>
      </w:r>
      <w:r w:rsidR="0063211C" w:rsidRPr="0063211C">
        <w:rPr>
          <w:rFonts w:hint="eastAsia"/>
          <w:color w:val="FF0000"/>
        </w:rPr>
        <w:t>,</w:t>
      </w:r>
      <w:r w:rsidRPr="0063211C">
        <w:rPr>
          <w:color w:val="FF0000"/>
        </w:rPr>
        <w:t xml:space="preserve"> and production environments</w:t>
      </w:r>
    </w:p>
    <w:p w14:paraId="7CDBD2DC" w14:textId="55CB5667" w:rsidR="00394574" w:rsidRDefault="00394574" w:rsidP="009A445E">
      <w:pPr>
        <w:pStyle w:val="S-Body"/>
        <w:numPr>
          <w:ilvl w:val="1"/>
          <w:numId w:val="27"/>
        </w:numPr>
        <w:ind w:left="993" w:hanging="633"/>
        <w:rPr>
          <w:rFonts w:hint="eastAsia"/>
        </w:rPr>
      </w:pPr>
      <w:r w:rsidRPr="00394574">
        <w:t>Development and test functions will be kept separate from production functions. For example, a developer may use an administrator-level account for use in the development environment and have either no access or a separate account with user-level access to the production environment.</w:t>
      </w:r>
      <w:r>
        <w:t xml:space="preserve"> </w:t>
      </w:r>
    </w:p>
    <w:p w14:paraId="0E67244C" w14:textId="35CE4437" w:rsidR="00065374" w:rsidRPr="0063211C" w:rsidRDefault="00394574" w:rsidP="00065374">
      <w:pPr>
        <w:pStyle w:val="S-SubHeading"/>
        <w:numPr>
          <w:ilvl w:val="0"/>
          <w:numId w:val="27"/>
        </w:numPr>
        <w:rPr>
          <w:rFonts w:hint="eastAsia"/>
          <w:color w:val="FF0000"/>
        </w:rPr>
      </w:pPr>
      <w:r w:rsidRPr="0063211C">
        <w:rPr>
          <w:color w:val="FF0000"/>
        </w:rPr>
        <w:t>Remote Access</w:t>
      </w:r>
    </w:p>
    <w:p w14:paraId="0A9A7B2D" w14:textId="77777777" w:rsidR="00394574" w:rsidRDefault="00394574" w:rsidP="009A445E">
      <w:pPr>
        <w:pStyle w:val="S-Body"/>
        <w:numPr>
          <w:ilvl w:val="1"/>
          <w:numId w:val="27"/>
        </w:numPr>
        <w:ind w:left="993" w:hanging="574"/>
        <w:rPr>
          <w:rFonts w:hint="eastAsia"/>
        </w:rPr>
      </w:pPr>
      <w:r w:rsidRPr="00394574">
        <w:t xml:space="preserve">Approved </w:t>
      </w:r>
      <w:proofErr w:type="spellStart"/>
      <w:r w:rsidRPr="00394574">
        <w:t>Signifi</w:t>
      </w:r>
      <w:proofErr w:type="spellEnd"/>
      <w:r w:rsidRPr="00394574">
        <w:t xml:space="preserve"> employees and authorized third parties (customers, vendors, etc.) may utilize the benefits of VPNs.  When using these services, the user is responsible for establishing a connection to the Internet before establishing the VPN session.</w:t>
      </w:r>
    </w:p>
    <w:p w14:paraId="45AC350C" w14:textId="2DB9192D" w:rsidR="00394574" w:rsidRDefault="00394574" w:rsidP="009A445E">
      <w:pPr>
        <w:pStyle w:val="S-Body"/>
        <w:numPr>
          <w:ilvl w:val="1"/>
          <w:numId w:val="27"/>
        </w:numPr>
        <w:ind w:left="993" w:hanging="574"/>
        <w:rPr>
          <w:rFonts w:hint="eastAsia"/>
        </w:rPr>
      </w:pPr>
      <w:r>
        <w:t xml:space="preserve">It is the responsibility of all </w:t>
      </w:r>
      <w:proofErr w:type="spellStart"/>
      <w:r>
        <w:t>Signifi</w:t>
      </w:r>
      <w:proofErr w:type="spellEnd"/>
      <w:r>
        <w:t xml:space="preserve"> employees with VPN privileges to not share their VPN credentials (username/password or Secure Token) with </w:t>
      </w:r>
      <w:r w:rsidR="0063211C">
        <w:t>anyone.</w:t>
      </w:r>
    </w:p>
    <w:p w14:paraId="7A7BF43C" w14:textId="77777777" w:rsidR="00394574" w:rsidRDefault="00394574" w:rsidP="009A445E">
      <w:pPr>
        <w:pStyle w:val="S-Body"/>
        <w:numPr>
          <w:ilvl w:val="1"/>
          <w:numId w:val="27"/>
        </w:numPr>
        <w:ind w:left="993" w:hanging="574"/>
        <w:rPr>
          <w:rFonts w:hint="eastAsia"/>
        </w:rPr>
      </w:pPr>
      <w:r>
        <w:lastRenderedPageBreak/>
        <w:t xml:space="preserve">All individuals and machines, while using </w:t>
      </w:r>
      <w:proofErr w:type="spellStart"/>
      <w:r>
        <w:t>Signifi’s</w:t>
      </w:r>
      <w:proofErr w:type="spellEnd"/>
      <w:r>
        <w:t xml:space="preserve"> VPN technology, are a de facto extension of the </w:t>
      </w:r>
      <w:proofErr w:type="spellStart"/>
      <w:r>
        <w:t>Signifi</w:t>
      </w:r>
      <w:proofErr w:type="spellEnd"/>
      <w:r>
        <w:t xml:space="preserve"> network, and as such are subject to all </w:t>
      </w:r>
      <w:proofErr w:type="spellStart"/>
      <w:r>
        <w:t>Signifi</w:t>
      </w:r>
      <w:proofErr w:type="spellEnd"/>
      <w:r>
        <w:t xml:space="preserve"> policies and expectations. </w:t>
      </w:r>
    </w:p>
    <w:p w14:paraId="00558AB3" w14:textId="77777777" w:rsidR="00394574" w:rsidRDefault="00394574" w:rsidP="009A445E">
      <w:pPr>
        <w:pStyle w:val="S-Body"/>
        <w:numPr>
          <w:ilvl w:val="1"/>
          <w:numId w:val="27"/>
        </w:numPr>
        <w:ind w:left="993" w:hanging="574"/>
        <w:rPr>
          <w:rFonts w:hint="eastAsia"/>
        </w:rPr>
      </w:pPr>
      <w:r>
        <w:t xml:space="preserve">All vendor access must comply with requirements of Vendor Access Policy and sign off on the Vendor Access Agreement.  </w:t>
      </w:r>
    </w:p>
    <w:p w14:paraId="6CB6B3E4" w14:textId="77777777" w:rsidR="00394574" w:rsidRDefault="00394574" w:rsidP="009A445E">
      <w:pPr>
        <w:pStyle w:val="S-Body"/>
        <w:numPr>
          <w:ilvl w:val="1"/>
          <w:numId w:val="27"/>
        </w:numPr>
        <w:ind w:left="993" w:hanging="574"/>
        <w:rPr>
          <w:rFonts w:hint="eastAsia"/>
        </w:rPr>
      </w:pPr>
      <w:r>
        <w:t xml:space="preserve">Accounts used by vendors for remote access, maintenance or support must be enabled only during the </w:t>
      </w:r>
      <w:proofErr w:type="gramStart"/>
      <w:r>
        <w:t>time period</w:t>
      </w:r>
      <w:proofErr w:type="gramEnd"/>
      <w:r>
        <w:t xml:space="preserve"> needed.</w:t>
      </w:r>
    </w:p>
    <w:p w14:paraId="38201AE1" w14:textId="77777777" w:rsidR="00394574" w:rsidRDefault="00394574" w:rsidP="009A445E">
      <w:pPr>
        <w:pStyle w:val="S-Body"/>
        <w:numPr>
          <w:ilvl w:val="1"/>
          <w:numId w:val="27"/>
        </w:numPr>
        <w:ind w:left="993" w:hanging="574"/>
        <w:rPr>
          <w:rFonts w:hint="eastAsia"/>
        </w:rPr>
      </w:pPr>
      <w:r>
        <w:t>IT shall log and monitor remote vendor access regularly.</w:t>
      </w:r>
    </w:p>
    <w:p w14:paraId="42B404ED" w14:textId="77777777" w:rsidR="00394574" w:rsidRDefault="00394574" w:rsidP="009A445E">
      <w:pPr>
        <w:pStyle w:val="S-Body"/>
        <w:numPr>
          <w:ilvl w:val="1"/>
          <w:numId w:val="27"/>
        </w:numPr>
        <w:ind w:left="993" w:hanging="574"/>
        <w:rPr>
          <w:rFonts w:hint="eastAsia"/>
        </w:rPr>
      </w:pPr>
      <w:r>
        <w:t xml:space="preserve">For </w:t>
      </w:r>
      <w:proofErr w:type="spellStart"/>
      <w:r>
        <w:t>Signifi</w:t>
      </w:r>
      <w:proofErr w:type="spellEnd"/>
      <w:r>
        <w:t xml:space="preserve"> employees, only corporate computers provisioned by the IT department are permitted to establish a VPN connection and must have a properly configured, up-to-date operating system, enabled with anti-virus software and a software firewall.</w:t>
      </w:r>
    </w:p>
    <w:p w14:paraId="0F2DD41D" w14:textId="77777777" w:rsidR="00394574" w:rsidRDefault="00394574" w:rsidP="009A445E">
      <w:pPr>
        <w:pStyle w:val="S-Body"/>
        <w:numPr>
          <w:ilvl w:val="1"/>
          <w:numId w:val="27"/>
        </w:numPr>
        <w:ind w:left="993" w:hanging="574"/>
        <w:rPr>
          <w:rFonts w:hint="eastAsia"/>
        </w:rPr>
      </w:pPr>
      <w:r>
        <w:t>Remote Access VPN connection shall be established using “Two Factor Authentication” such as tokens or certificates and strong encryption.</w:t>
      </w:r>
    </w:p>
    <w:p w14:paraId="537D468E" w14:textId="77777777" w:rsidR="00BF3CD4" w:rsidRDefault="00394574" w:rsidP="009A445E">
      <w:pPr>
        <w:pStyle w:val="S-Body"/>
        <w:numPr>
          <w:ilvl w:val="1"/>
          <w:numId w:val="27"/>
        </w:numPr>
        <w:ind w:left="993" w:hanging="574"/>
        <w:rPr>
          <w:rFonts w:hint="eastAsia"/>
        </w:rPr>
      </w:pPr>
      <w:r>
        <w:t>Dual homing or split tunnelling is NOT permitted; only one network connection is allowed.</w:t>
      </w:r>
    </w:p>
    <w:p w14:paraId="64D69123" w14:textId="7006E49D" w:rsidR="00394574" w:rsidRDefault="00394574" w:rsidP="009A445E">
      <w:pPr>
        <w:pStyle w:val="S-Body"/>
        <w:numPr>
          <w:ilvl w:val="1"/>
          <w:numId w:val="27"/>
        </w:numPr>
        <w:tabs>
          <w:tab w:val="left" w:pos="993"/>
        </w:tabs>
        <w:ind w:left="993" w:hanging="574"/>
        <w:rPr>
          <w:rFonts w:hint="eastAsia"/>
        </w:rPr>
      </w:pPr>
      <w:r>
        <w:t xml:space="preserve">VPN users will be automatically disconnected from </w:t>
      </w:r>
      <w:proofErr w:type="spellStart"/>
      <w:r>
        <w:t>Signifi’s</w:t>
      </w:r>
      <w:proofErr w:type="spellEnd"/>
      <w:r>
        <w:t xml:space="preserve"> network after eight (8) hours of inactivity. The user must then login again to reconnect to the network. Pings or other artificial network processes are not to be used to keep the connection open.</w:t>
      </w:r>
    </w:p>
    <w:p w14:paraId="168AEB52" w14:textId="77777777" w:rsidR="00394574" w:rsidRDefault="00394574" w:rsidP="009A445E">
      <w:pPr>
        <w:pStyle w:val="S-Body"/>
        <w:numPr>
          <w:ilvl w:val="1"/>
          <w:numId w:val="27"/>
        </w:numPr>
        <w:tabs>
          <w:tab w:val="left" w:pos="993"/>
        </w:tabs>
        <w:ind w:left="993" w:hanging="574"/>
        <w:rPr>
          <w:rFonts w:hint="eastAsia"/>
        </w:rPr>
      </w:pPr>
      <w:r>
        <w:t xml:space="preserve">When an employee leaves </w:t>
      </w:r>
      <w:proofErr w:type="spellStart"/>
      <w:r>
        <w:t>Signifi</w:t>
      </w:r>
      <w:proofErr w:type="spellEnd"/>
      <w:r>
        <w:t>, all existing remote access services will be terminated or disabled immediately.</w:t>
      </w:r>
    </w:p>
    <w:p w14:paraId="6A726913" w14:textId="0B13A413" w:rsidR="00394574" w:rsidRDefault="00394574" w:rsidP="009A445E">
      <w:pPr>
        <w:pStyle w:val="S-Body"/>
        <w:numPr>
          <w:ilvl w:val="1"/>
          <w:numId w:val="27"/>
        </w:numPr>
        <w:tabs>
          <w:tab w:val="left" w:pos="993"/>
        </w:tabs>
        <w:ind w:left="993" w:hanging="574"/>
        <w:rPr>
          <w:rFonts w:hint="eastAsia"/>
        </w:rPr>
      </w:pPr>
      <w:r>
        <w:t xml:space="preserve">Remote access is considered a </w:t>
      </w:r>
      <w:r w:rsidR="0063211C">
        <w:t>privilege and</w:t>
      </w:r>
      <w:r>
        <w:t xml:space="preserve"> may be revoked at any time without reason.</w:t>
      </w:r>
    </w:p>
    <w:p w14:paraId="5F99F51C" w14:textId="4235F843" w:rsidR="00394574" w:rsidRDefault="00394574" w:rsidP="009A445E">
      <w:pPr>
        <w:pStyle w:val="S-Body"/>
        <w:numPr>
          <w:ilvl w:val="1"/>
          <w:numId w:val="27"/>
        </w:numPr>
        <w:tabs>
          <w:tab w:val="left" w:pos="993"/>
        </w:tabs>
        <w:ind w:left="993" w:hanging="574"/>
        <w:rPr>
          <w:rFonts w:hint="eastAsia"/>
        </w:rPr>
      </w:pPr>
      <w:r>
        <w:t xml:space="preserve">Support will be accomplished by the associate bringing or shipping the assigned </w:t>
      </w:r>
      <w:proofErr w:type="spellStart"/>
      <w:r>
        <w:t>Signifi</w:t>
      </w:r>
      <w:proofErr w:type="spellEnd"/>
      <w:r>
        <w:t xml:space="preserve"> computing asset to a serviceable </w:t>
      </w:r>
      <w:proofErr w:type="spellStart"/>
      <w:r>
        <w:t>Signifi</w:t>
      </w:r>
      <w:proofErr w:type="spellEnd"/>
      <w:r>
        <w:t xml:space="preserve"> facility. </w:t>
      </w:r>
    </w:p>
    <w:p w14:paraId="12122FF8" w14:textId="77777777" w:rsidR="00FA0305" w:rsidRDefault="00FA0305" w:rsidP="009B217A">
      <w:pPr>
        <w:spacing w:after="0" w:line="235" w:lineRule="auto"/>
        <w:ind w:right="280"/>
      </w:pPr>
    </w:p>
    <w:p w14:paraId="726A0429" w14:textId="77777777" w:rsidR="00BF3CD4" w:rsidRDefault="00BF3CD4">
      <w:pPr>
        <w:spacing w:after="160" w:line="259" w:lineRule="auto"/>
        <w:rPr>
          <w:rFonts w:ascii="Tw Cen MT Condensed Extra Bold" w:eastAsiaTheme="majorEastAsia" w:hAnsi="Tw Cen MT Condensed Extra Bold" w:cstheme="majorBidi"/>
          <w:bCs/>
          <w:color w:val="FFFFFF" w:themeColor="background1"/>
          <w:kern w:val="32"/>
          <w:sz w:val="40"/>
          <w:szCs w:val="28"/>
        </w:rPr>
      </w:pPr>
      <w:bookmarkStart w:id="16" w:name="_Toc23870966"/>
      <w:bookmarkStart w:id="17" w:name="_Toc23870872"/>
      <w:r>
        <w:rPr>
          <w:color w:val="FFFFFF" w:themeColor="background1"/>
        </w:rPr>
        <w:br w:type="page"/>
      </w:r>
    </w:p>
    <w:p w14:paraId="357B6EC9" w14:textId="2CE1EDBC" w:rsidR="00AE0465" w:rsidRPr="0063211C" w:rsidRDefault="00AE0465" w:rsidP="00BF3CD4">
      <w:pPr>
        <w:pStyle w:val="S-Heading"/>
        <w:rPr>
          <w:sz w:val="32"/>
          <w:szCs w:val="32"/>
        </w:rPr>
      </w:pPr>
      <w:r w:rsidRPr="0063211C">
        <w:rPr>
          <w:color w:val="FF0000"/>
          <w:sz w:val="32"/>
          <w:szCs w:val="32"/>
        </w:rPr>
        <w:lastRenderedPageBreak/>
        <w:t>Enforcement</w:t>
      </w:r>
      <w:bookmarkEnd w:id="16"/>
      <w:bookmarkEnd w:id="17"/>
      <w:r w:rsidRPr="0063211C">
        <w:rPr>
          <w:sz w:val="32"/>
          <w:szCs w:val="32"/>
        </w:rPr>
        <w:tab/>
      </w:r>
    </w:p>
    <w:p w14:paraId="05B85A02" w14:textId="6869FBF7" w:rsidR="001F5D0D" w:rsidRPr="00073D6D" w:rsidRDefault="001F5D0D" w:rsidP="00BF3CD4">
      <w:pPr>
        <w:pStyle w:val="S-Body"/>
        <w:rPr>
          <w:rFonts w:hint="eastAsia"/>
        </w:rPr>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14:paraId="0E7733D3" w14:textId="77777777" w:rsidR="001941D0" w:rsidRPr="0063211C" w:rsidRDefault="001941D0" w:rsidP="001941D0">
      <w:pPr>
        <w:pStyle w:val="S-Heading"/>
        <w:rPr>
          <w:color w:val="FF0000"/>
          <w:sz w:val="32"/>
          <w:szCs w:val="32"/>
        </w:rPr>
      </w:pPr>
      <w:bookmarkStart w:id="18" w:name="_Toc510417374"/>
      <w:bookmarkStart w:id="19" w:name="_Hlk58417268"/>
      <w:r w:rsidRPr="0063211C">
        <w:rPr>
          <w:color w:val="FF0000"/>
          <w:sz w:val="32"/>
          <w:szCs w:val="32"/>
        </w:rPr>
        <w:t>Update</w:t>
      </w:r>
      <w:r w:rsidRPr="0063211C">
        <w:rPr>
          <w:color w:val="FF0000"/>
          <w:sz w:val="32"/>
          <w:szCs w:val="32"/>
        </w:rPr>
        <w:tab/>
      </w:r>
    </w:p>
    <w:p w14:paraId="0E0BE5DF" w14:textId="77777777" w:rsidR="001941D0" w:rsidRDefault="001941D0" w:rsidP="001941D0">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 xml:space="preserve">This policy and all supporting documentation will be reviewed and updated annually or upon material changes to </w:t>
      </w:r>
      <w:proofErr w:type="spellStart"/>
      <w:r w:rsidRPr="00FF4655">
        <w:rPr>
          <w:rFonts w:ascii="Helvetica Neue" w:eastAsia="Arial Unicode MS" w:hAnsi="Helvetica Neue" w:cs="Arial Unicode MS"/>
          <w:color w:val="000000"/>
          <w:sz w:val="24"/>
          <w:szCs w:val="24"/>
          <w:u w:color="000000"/>
        </w:rPr>
        <w:t>Signifi</w:t>
      </w:r>
      <w:proofErr w:type="spellEnd"/>
      <w:r w:rsidRPr="00FF4655">
        <w:rPr>
          <w:rFonts w:ascii="Helvetica Neue" w:eastAsia="Arial Unicode MS" w:hAnsi="Helvetica Neue" w:cs="Arial Unicode MS"/>
          <w:color w:val="000000"/>
          <w:sz w:val="24"/>
          <w:szCs w:val="24"/>
          <w:u w:color="000000"/>
        </w:rPr>
        <w:t xml:space="preserve"> business rules, technology processes, organizational goals, or information security objectives to ensure its continuing suitability, adequacy, and effectiveness.</w:t>
      </w:r>
      <w:bookmarkEnd w:id="18"/>
    </w:p>
    <w:bookmarkEnd w:id="19"/>
    <w:p w14:paraId="5B55DF1F" w14:textId="77777777" w:rsidR="00AE0465" w:rsidRDefault="00AE0465" w:rsidP="00AE0465"/>
    <w:p w14:paraId="1813889D" w14:textId="77777777" w:rsidR="00AE0465" w:rsidRPr="0063211C" w:rsidRDefault="00AE0465" w:rsidP="00BF3CD4">
      <w:pPr>
        <w:pStyle w:val="S-Heading"/>
        <w:rPr>
          <w:color w:val="FF0000"/>
          <w:sz w:val="32"/>
          <w:szCs w:val="32"/>
        </w:rPr>
      </w:pPr>
      <w:bookmarkStart w:id="20" w:name="_Toc510450541"/>
      <w:bookmarkStart w:id="21" w:name="_Toc23870967"/>
      <w:bookmarkStart w:id="22" w:name="_Toc23870873"/>
      <w:r w:rsidRPr="0063211C">
        <w:rPr>
          <w:color w:val="FF0000"/>
          <w:sz w:val="32"/>
          <w:szCs w:val="32"/>
        </w:rPr>
        <w:t>Revision History</w:t>
      </w:r>
      <w:bookmarkEnd w:id="20"/>
      <w:bookmarkEnd w:id="21"/>
      <w:bookmarkEnd w:id="22"/>
    </w:p>
    <w:tbl>
      <w:tblPr>
        <w:tblStyle w:val="TableGrid"/>
        <w:tblpPr w:leftFromText="180" w:rightFromText="180" w:vertAnchor="text" w:horzAnchor="margin" w:tblpY="495"/>
        <w:tblW w:w="9533" w:type="dxa"/>
        <w:tblLook w:val="04A0" w:firstRow="1" w:lastRow="0" w:firstColumn="1" w:lastColumn="0" w:noHBand="0" w:noVBand="1"/>
      </w:tblPr>
      <w:tblGrid>
        <w:gridCol w:w="1398"/>
        <w:gridCol w:w="1770"/>
        <w:gridCol w:w="3873"/>
        <w:gridCol w:w="2492"/>
      </w:tblGrid>
      <w:tr w:rsidR="00CE7468" w14:paraId="54820264" w14:textId="77777777" w:rsidTr="001941D0">
        <w:trPr>
          <w:trHeight w:val="673"/>
        </w:trPr>
        <w:tc>
          <w:tcPr>
            <w:tcW w:w="1398" w:type="dxa"/>
            <w:shd w:val="clear" w:color="auto" w:fill="auto"/>
          </w:tcPr>
          <w:p w14:paraId="55BADFF0" w14:textId="77777777" w:rsidR="00CE7468" w:rsidRPr="00477BCF" w:rsidRDefault="00CE7468" w:rsidP="00BF3CD4">
            <w:pPr>
              <w:pStyle w:val="S-Table-Heading"/>
              <w:rPr>
                <w:rFonts w:hint="eastAsia"/>
              </w:rPr>
            </w:pPr>
            <w:r w:rsidRPr="004B15CB">
              <w:t>VERSION</w:t>
            </w:r>
          </w:p>
        </w:tc>
        <w:tc>
          <w:tcPr>
            <w:tcW w:w="1770" w:type="dxa"/>
            <w:shd w:val="clear" w:color="auto" w:fill="auto"/>
          </w:tcPr>
          <w:p w14:paraId="7D2DCC3B" w14:textId="77777777" w:rsidR="00CE7468" w:rsidRPr="00477BCF" w:rsidRDefault="00CE7468" w:rsidP="00BF3CD4">
            <w:pPr>
              <w:pStyle w:val="S-Table-Heading"/>
              <w:rPr>
                <w:rFonts w:hint="eastAsia"/>
              </w:rPr>
            </w:pPr>
            <w:r w:rsidRPr="004B15CB">
              <w:t>DATE</w:t>
            </w:r>
          </w:p>
        </w:tc>
        <w:tc>
          <w:tcPr>
            <w:tcW w:w="3873" w:type="dxa"/>
            <w:shd w:val="clear" w:color="auto" w:fill="auto"/>
          </w:tcPr>
          <w:p w14:paraId="6100EFAA" w14:textId="77777777" w:rsidR="00CE7468" w:rsidRPr="00BF3CD4" w:rsidRDefault="00CE7468" w:rsidP="00BF3CD4">
            <w:pPr>
              <w:pStyle w:val="S-Table-Heading"/>
              <w:rPr>
                <w:rFonts w:hint="eastAsia"/>
              </w:rPr>
            </w:pPr>
            <w:r w:rsidRPr="00BF3CD4">
              <w:t>SUMMARY OF CHANGE</w:t>
            </w:r>
          </w:p>
        </w:tc>
        <w:tc>
          <w:tcPr>
            <w:tcW w:w="2492" w:type="dxa"/>
            <w:shd w:val="clear" w:color="auto" w:fill="auto"/>
          </w:tcPr>
          <w:p w14:paraId="7BF72CE3" w14:textId="77777777" w:rsidR="00CE7468" w:rsidRPr="00BF3CD4" w:rsidRDefault="00CE7468" w:rsidP="00BF3CD4">
            <w:pPr>
              <w:pStyle w:val="S-Table-Heading"/>
              <w:rPr>
                <w:rFonts w:hint="eastAsia"/>
              </w:rPr>
            </w:pPr>
            <w:r w:rsidRPr="00BF3CD4">
              <w:t>CHANGED BY</w:t>
            </w:r>
          </w:p>
        </w:tc>
      </w:tr>
      <w:tr w:rsidR="004817E1" w14:paraId="7FDFD8E5" w14:textId="77777777" w:rsidTr="001941D0">
        <w:trPr>
          <w:trHeight w:val="309"/>
        </w:trPr>
        <w:tc>
          <w:tcPr>
            <w:tcW w:w="1398" w:type="dxa"/>
            <w:tcBorders>
              <w:top w:val="single" w:sz="4" w:space="0" w:color="auto"/>
              <w:left w:val="single" w:sz="4" w:space="0" w:color="auto"/>
              <w:bottom w:val="single" w:sz="4" w:space="0" w:color="auto"/>
              <w:right w:val="single" w:sz="4" w:space="0" w:color="auto"/>
            </w:tcBorders>
          </w:tcPr>
          <w:p w14:paraId="1AA28EF9" w14:textId="768AD2C2" w:rsidR="004817E1" w:rsidRDefault="004817E1" w:rsidP="00BF3CD4">
            <w:pPr>
              <w:pStyle w:val="S-Table-Cells"/>
              <w:rPr>
                <w:rFonts w:hint="eastAsia"/>
              </w:rPr>
            </w:pPr>
            <w:r>
              <w:t>1.0</w:t>
            </w:r>
          </w:p>
        </w:tc>
        <w:tc>
          <w:tcPr>
            <w:tcW w:w="1770" w:type="dxa"/>
            <w:tcBorders>
              <w:top w:val="single" w:sz="4" w:space="0" w:color="auto"/>
              <w:left w:val="single" w:sz="4" w:space="0" w:color="auto"/>
              <w:bottom w:val="single" w:sz="4" w:space="0" w:color="auto"/>
              <w:right w:val="single" w:sz="4" w:space="0" w:color="auto"/>
            </w:tcBorders>
          </w:tcPr>
          <w:p w14:paraId="6953955C" w14:textId="732C69D9" w:rsidR="004817E1" w:rsidRDefault="001941D0" w:rsidP="00BF3CD4">
            <w:pPr>
              <w:pStyle w:val="S-Table-Cells"/>
              <w:rPr>
                <w:rFonts w:hint="eastAsia"/>
              </w:rPr>
            </w:pPr>
            <w:r>
              <w:t>2019-12-05</w:t>
            </w:r>
          </w:p>
        </w:tc>
        <w:tc>
          <w:tcPr>
            <w:tcW w:w="3873" w:type="dxa"/>
            <w:tcBorders>
              <w:top w:val="single" w:sz="4" w:space="0" w:color="auto"/>
              <w:left w:val="single" w:sz="4" w:space="0" w:color="auto"/>
              <w:bottom w:val="single" w:sz="4" w:space="0" w:color="auto"/>
              <w:right w:val="single" w:sz="4" w:space="0" w:color="auto"/>
            </w:tcBorders>
          </w:tcPr>
          <w:p w14:paraId="4695DF63" w14:textId="76E4E85D" w:rsidR="004817E1" w:rsidRDefault="004817E1" w:rsidP="00BF3CD4">
            <w:pPr>
              <w:pStyle w:val="S-Table-Cells"/>
              <w:rPr>
                <w:rFonts w:hint="eastAsia"/>
              </w:rPr>
            </w:pPr>
            <w:r>
              <w:t>First version</w:t>
            </w:r>
          </w:p>
        </w:tc>
        <w:tc>
          <w:tcPr>
            <w:tcW w:w="2492" w:type="dxa"/>
            <w:tcBorders>
              <w:top w:val="single" w:sz="4" w:space="0" w:color="auto"/>
              <w:left w:val="single" w:sz="4" w:space="0" w:color="auto"/>
              <w:bottom w:val="single" w:sz="4" w:space="0" w:color="auto"/>
              <w:right w:val="single" w:sz="4" w:space="0" w:color="auto"/>
            </w:tcBorders>
          </w:tcPr>
          <w:p w14:paraId="7EA7A131" w14:textId="46B33DE8" w:rsidR="004817E1" w:rsidRPr="00477BCF" w:rsidRDefault="004817E1" w:rsidP="00BF3CD4">
            <w:pPr>
              <w:pStyle w:val="S-Table-Cells"/>
              <w:rPr>
                <w:rFonts w:hint="eastAsia"/>
              </w:rPr>
            </w:pPr>
            <w:proofErr w:type="spellStart"/>
            <w:r>
              <w:t>Darace</w:t>
            </w:r>
            <w:proofErr w:type="spellEnd"/>
            <w:r>
              <w:t xml:space="preserve"> Rose</w:t>
            </w:r>
          </w:p>
        </w:tc>
      </w:tr>
      <w:tr w:rsidR="004817E1" w14:paraId="6661A1A3" w14:textId="77777777" w:rsidTr="001941D0">
        <w:trPr>
          <w:trHeight w:val="309"/>
        </w:trPr>
        <w:tc>
          <w:tcPr>
            <w:tcW w:w="1398" w:type="dxa"/>
            <w:tcBorders>
              <w:top w:val="single" w:sz="4" w:space="0" w:color="auto"/>
              <w:left w:val="single" w:sz="4" w:space="0" w:color="auto"/>
              <w:bottom w:val="single" w:sz="4" w:space="0" w:color="auto"/>
              <w:right w:val="single" w:sz="4" w:space="0" w:color="auto"/>
            </w:tcBorders>
          </w:tcPr>
          <w:p w14:paraId="4990D263" w14:textId="49C00AE7" w:rsidR="004817E1" w:rsidRDefault="004817E1" w:rsidP="00BF3CD4">
            <w:pPr>
              <w:pStyle w:val="S-Table-Cells"/>
              <w:rPr>
                <w:rFonts w:hint="eastAsia"/>
              </w:rPr>
            </w:pPr>
            <w:r>
              <w:t>1.1</w:t>
            </w:r>
          </w:p>
        </w:tc>
        <w:tc>
          <w:tcPr>
            <w:tcW w:w="1770" w:type="dxa"/>
            <w:tcBorders>
              <w:top w:val="single" w:sz="4" w:space="0" w:color="auto"/>
              <w:left w:val="single" w:sz="4" w:space="0" w:color="auto"/>
              <w:bottom w:val="single" w:sz="4" w:space="0" w:color="auto"/>
              <w:right w:val="single" w:sz="4" w:space="0" w:color="auto"/>
            </w:tcBorders>
          </w:tcPr>
          <w:p w14:paraId="53E3E9EB" w14:textId="76E2044B" w:rsidR="004817E1" w:rsidRDefault="001941D0" w:rsidP="00BF3CD4">
            <w:pPr>
              <w:pStyle w:val="S-Table-Cells"/>
              <w:rPr>
                <w:rFonts w:hint="eastAsia"/>
              </w:rPr>
            </w:pPr>
            <w:r>
              <w:t>2019-12-13</w:t>
            </w:r>
          </w:p>
        </w:tc>
        <w:tc>
          <w:tcPr>
            <w:tcW w:w="3873" w:type="dxa"/>
            <w:tcBorders>
              <w:top w:val="single" w:sz="4" w:space="0" w:color="auto"/>
              <w:left w:val="single" w:sz="4" w:space="0" w:color="auto"/>
              <w:bottom w:val="single" w:sz="4" w:space="0" w:color="auto"/>
              <w:right w:val="single" w:sz="4" w:space="0" w:color="auto"/>
            </w:tcBorders>
          </w:tcPr>
          <w:p w14:paraId="6991C0EC" w14:textId="3917BAB5" w:rsidR="004817E1" w:rsidRDefault="004817E1" w:rsidP="00BF3CD4">
            <w:pPr>
              <w:pStyle w:val="S-Table-Cells"/>
              <w:rPr>
                <w:rFonts w:hint="eastAsia"/>
              </w:rPr>
            </w:pPr>
            <w:r>
              <w:t>Update template</w:t>
            </w:r>
          </w:p>
        </w:tc>
        <w:tc>
          <w:tcPr>
            <w:tcW w:w="2492" w:type="dxa"/>
            <w:tcBorders>
              <w:top w:val="single" w:sz="4" w:space="0" w:color="auto"/>
              <w:left w:val="single" w:sz="4" w:space="0" w:color="auto"/>
              <w:bottom w:val="single" w:sz="4" w:space="0" w:color="auto"/>
              <w:right w:val="single" w:sz="4" w:space="0" w:color="auto"/>
            </w:tcBorders>
          </w:tcPr>
          <w:p w14:paraId="17A314CC" w14:textId="5E627C02" w:rsidR="004817E1" w:rsidRDefault="004817E1" w:rsidP="00BF3CD4">
            <w:pPr>
              <w:pStyle w:val="S-Table-Cells"/>
              <w:rPr>
                <w:rFonts w:hint="eastAsia"/>
              </w:rPr>
            </w:pPr>
            <w:r>
              <w:t xml:space="preserve">Razvan </w:t>
            </w:r>
            <w:proofErr w:type="spellStart"/>
            <w:r>
              <w:t>Anghelidi</w:t>
            </w:r>
            <w:proofErr w:type="spellEnd"/>
          </w:p>
        </w:tc>
      </w:tr>
      <w:tr w:rsidR="004817E1" w14:paraId="28E061D7" w14:textId="77777777" w:rsidTr="001941D0">
        <w:trPr>
          <w:trHeight w:val="319"/>
        </w:trPr>
        <w:tc>
          <w:tcPr>
            <w:tcW w:w="1398" w:type="dxa"/>
            <w:tcBorders>
              <w:top w:val="single" w:sz="4" w:space="0" w:color="auto"/>
              <w:left w:val="single" w:sz="4" w:space="0" w:color="auto"/>
              <w:bottom w:val="single" w:sz="4" w:space="0" w:color="auto"/>
              <w:right w:val="single" w:sz="4" w:space="0" w:color="auto"/>
            </w:tcBorders>
          </w:tcPr>
          <w:p w14:paraId="4A82C7A6" w14:textId="303886CA" w:rsidR="004817E1" w:rsidRDefault="001941D0" w:rsidP="00BF3CD4">
            <w:pPr>
              <w:pStyle w:val="S-Table-Cells"/>
              <w:rPr>
                <w:rFonts w:hint="eastAsia"/>
              </w:rPr>
            </w:pPr>
            <w:r>
              <w:t>1.11</w:t>
            </w:r>
          </w:p>
        </w:tc>
        <w:tc>
          <w:tcPr>
            <w:tcW w:w="1770" w:type="dxa"/>
            <w:tcBorders>
              <w:top w:val="single" w:sz="4" w:space="0" w:color="auto"/>
              <w:left w:val="single" w:sz="4" w:space="0" w:color="auto"/>
              <w:bottom w:val="single" w:sz="4" w:space="0" w:color="auto"/>
              <w:right w:val="single" w:sz="4" w:space="0" w:color="auto"/>
            </w:tcBorders>
          </w:tcPr>
          <w:p w14:paraId="1632188E" w14:textId="1AF514A9" w:rsidR="004817E1" w:rsidRDefault="001941D0" w:rsidP="00BF3CD4">
            <w:pPr>
              <w:pStyle w:val="S-Table-Cells"/>
              <w:rPr>
                <w:rFonts w:hint="eastAsia"/>
              </w:rPr>
            </w:pPr>
            <w:r>
              <w:t>2020-12-01</w:t>
            </w:r>
          </w:p>
        </w:tc>
        <w:tc>
          <w:tcPr>
            <w:tcW w:w="3873" w:type="dxa"/>
            <w:tcBorders>
              <w:top w:val="single" w:sz="4" w:space="0" w:color="auto"/>
              <w:left w:val="single" w:sz="4" w:space="0" w:color="auto"/>
              <w:bottom w:val="single" w:sz="4" w:space="0" w:color="auto"/>
              <w:right w:val="single" w:sz="4" w:space="0" w:color="auto"/>
            </w:tcBorders>
          </w:tcPr>
          <w:p w14:paraId="1AE4AC9F" w14:textId="10A0F032" w:rsidR="004817E1" w:rsidRDefault="001941D0" w:rsidP="00BF3CD4">
            <w:pPr>
              <w:pStyle w:val="S-Table-Cells"/>
              <w:rPr>
                <w:rFonts w:hint="eastAsia"/>
              </w:rPr>
            </w:pPr>
            <w:r>
              <w:t>Annual review</w:t>
            </w:r>
          </w:p>
        </w:tc>
        <w:tc>
          <w:tcPr>
            <w:tcW w:w="2492" w:type="dxa"/>
            <w:tcBorders>
              <w:top w:val="single" w:sz="4" w:space="0" w:color="auto"/>
              <w:left w:val="single" w:sz="4" w:space="0" w:color="auto"/>
              <w:bottom w:val="single" w:sz="4" w:space="0" w:color="auto"/>
              <w:right w:val="single" w:sz="4" w:space="0" w:color="auto"/>
            </w:tcBorders>
          </w:tcPr>
          <w:p w14:paraId="51BF099B" w14:textId="542739DA" w:rsidR="004817E1" w:rsidRDefault="001941D0" w:rsidP="00BF3CD4">
            <w:pPr>
              <w:pStyle w:val="S-Table-Cells"/>
              <w:rPr>
                <w:rFonts w:hint="eastAsia"/>
              </w:rPr>
            </w:pPr>
            <w:r>
              <w:t xml:space="preserve">Razvan </w:t>
            </w:r>
            <w:proofErr w:type="spellStart"/>
            <w:r>
              <w:t>Anghelidi</w:t>
            </w:r>
            <w:proofErr w:type="spellEnd"/>
          </w:p>
        </w:tc>
      </w:tr>
      <w:tr w:rsidR="0063211C" w14:paraId="2784D82A" w14:textId="77777777" w:rsidTr="001941D0">
        <w:trPr>
          <w:trHeight w:val="319"/>
        </w:trPr>
        <w:tc>
          <w:tcPr>
            <w:tcW w:w="1398" w:type="dxa"/>
            <w:tcBorders>
              <w:top w:val="single" w:sz="4" w:space="0" w:color="auto"/>
              <w:left w:val="single" w:sz="4" w:space="0" w:color="auto"/>
              <w:bottom w:val="single" w:sz="4" w:space="0" w:color="auto"/>
              <w:right w:val="single" w:sz="4" w:space="0" w:color="auto"/>
            </w:tcBorders>
          </w:tcPr>
          <w:p w14:paraId="49049265" w14:textId="58C46EAF" w:rsidR="0063211C" w:rsidRDefault="0063211C" w:rsidP="00BF3CD4">
            <w:pPr>
              <w:pStyle w:val="S-Table-Cells"/>
            </w:pPr>
            <w:r>
              <w:t>1.12</w:t>
            </w:r>
          </w:p>
        </w:tc>
        <w:tc>
          <w:tcPr>
            <w:tcW w:w="1770" w:type="dxa"/>
            <w:tcBorders>
              <w:top w:val="single" w:sz="4" w:space="0" w:color="auto"/>
              <w:left w:val="single" w:sz="4" w:space="0" w:color="auto"/>
              <w:bottom w:val="single" w:sz="4" w:space="0" w:color="auto"/>
              <w:right w:val="single" w:sz="4" w:space="0" w:color="auto"/>
            </w:tcBorders>
          </w:tcPr>
          <w:p w14:paraId="4F70F931" w14:textId="0795C0E3" w:rsidR="0063211C" w:rsidRDefault="0063211C" w:rsidP="00BF3CD4">
            <w:pPr>
              <w:pStyle w:val="S-Table-Cells"/>
            </w:pPr>
            <w:r>
              <w:t>2021-12-12</w:t>
            </w:r>
          </w:p>
        </w:tc>
        <w:tc>
          <w:tcPr>
            <w:tcW w:w="3873" w:type="dxa"/>
            <w:tcBorders>
              <w:top w:val="single" w:sz="4" w:space="0" w:color="auto"/>
              <w:left w:val="single" w:sz="4" w:space="0" w:color="auto"/>
              <w:bottom w:val="single" w:sz="4" w:space="0" w:color="auto"/>
              <w:right w:val="single" w:sz="4" w:space="0" w:color="auto"/>
            </w:tcBorders>
          </w:tcPr>
          <w:p w14:paraId="3C14B819" w14:textId="37E55804" w:rsidR="0063211C" w:rsidRDefault="0063211C" w:rsidP="00BF3CD4">
            <w:pPr>
              <w:pStyle w:val="S-Table-Cells"/>
            </w:pPr>
            <w:r>
              <w:t>Annual review</w:t>
            </w:r>
          </w:p>
        </w:tc>
        <w:tc>
          <w:tcPr>
            <w:tcW w:w="2492" w:type="dxa"/>
            <w:tcBorders>
              <w:top w:val="single" w:sz="4" w:space="0" w:color="auto"/>
              <w:left w:val="single" w:sz="4" w:space="0" w:color="auto"/>
              <w:bottom w:val="single" w:sz="4" w:space="0" w:color="auto"/>
              <w:right w:val="single" w:sz="4" w:space="0" w:color="auto"/>
            </w:tcBorders>
          </w:tcPr>
          <w:p w14:paraId="01E7751F" w14:textId="00504DDC" w:rsidR="0063211C" w:rsidRDefault="0063211C" w:rsidP="00BF3CD4">
            <w:pPr>
              <w:pStyle w:val="S-Table-Cells"/>
            </w:pPr>
            <w:r>
              <w:t xml:space="preserve">Hadeel </w:t>
            </w:r>
            <w:proofErr w:type="spellStart"/>
            <w:r>
              <w:t>Alzuhairi</w:t>
            </w:r>
            <w:proofErr w:type="spellEnd"/>
          </w:p>
        </w:tc>
      </w:tr>
    </w:tbl>
    <w:p w14:paraId="681F5682" w14:textId="77777777" w:rsidR="00297F86" w:rsidRDefault="00297F86" w:rsidP="00297F86"/>
    <w:p w14:paraId="1546A92C" w14:textId="77777777" w:rsidR="00297F86" w:rsidRDefault="00297F86" w:rsidP="00297F86">
      <w:r>
        <w:t xml:space="preserve"> </w:t>
      </w:r>
    </w:p>
    <w:p w14:paraId="3889EDDF" w14:textId="52D4BEB2" w:rsidR="006B6EFD" w:rsidRDefault="006B6EFD" w:rsidP="00297F86"/>
    <w:sectPr w:rsidR="006B6EFD" w:rsidSect="00BF3CD4">
      <w:headerReference w:type="default" r:id="rId14"/>
      <w:pgSz w:w="12240" w:h="15840"/>
      <w:pgMar w:top="2127"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4CFA6" w14:textId="77777777" w:rsidR="005E019A" w:rsidRDefault="005E019A" w:rsidP="00AE0465">
      <w:pPr>
        <w:spacing w:after="0" w:line="240" w:lineRule="auto"/>
      </w:pPr>
      <w:r>
        <w:separator/>
      </w:r>
    </w:p>
  </w:endnote>
  <w:endnote w:type="continuationSeparator" w:id="0">
    <w:p w14:paraId="159EC2E7" w14:textId="77777777" w:rsidR="005E019A" w:rsidRDefault="005E019A" w:rsidP="00AE0465">
      <w:pPr>
        <w:spacing w:after="0" w:line="240" w:lineRule="auto"/>
      </w:pPr>
      <w:r>
        <w:continuationSeparator/>
      </w:r>
    </w:p>
  </w:endnote>
  <w:endnote w:type="continuationNotice" w:id="1">
    <w:p w14:paraId="70C7D59E" w14:textId="77777777" w:rsidR="005E019A" w:rsidRDefault="005E01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6B6EFD" w:rsidRDefault="006B6EFD" w:rsidP="006B6EFD">
    <w:pPr>
      <w:pStyle w:val="Footer"/>
    </w:pPr>
  </w:p>
  <w:p w14:paraId="126B1610" w14:textId="59AC4380" w:rsidR="006B6EFD" w:rsidRPr="00464ECD" w:rsidRDefault="005E019A" w:rsidP="006B6EFD">
    <w:pPr>
      <w:pStyle w:val="Footer"/>
    </w:pPr>
    <w:r>
      <w:pict w14:anchorId="4BE7D6C8">
        <v:rect id="_x0000_i1025" style="width:0;height:1.5pt" o:hralign="center" o:hrstd="t" o:hr="t" fillcolor="#a0a0a0" stroked="f"/>
      </w:pict>
    </w:r>
    <w:r w:rsidR="006B6EFD" w:rsidRPr="001C26D8">
      <w:t xml:space="preserve"> </w:t>
    </w:r>
    <w:r w:rsidR="006B6EFD">
      <w:t xml:space="preserve">Access Control </w:t>
    </w:r>
    <w:r w:rsidR="006B6EFD" w:rsidRPr="0098620A">
      <w:t>Policy</w:t>
    </w:r>
    <w:r w:rsidR="006B6EFD">
      <w:tab/>
    </w:r>
    <w:r w:rsidR="006B6EFD">
      <w:fldChar w:fldCharType="begin"/>
    </w:r>
    <w:r w:rsidR="006B6EFD">
      <w:instrText xml:space="preserve"> PAGE   \* MERGEFORMAT </w:instrText>
    </w:r>
    <w:r w:rsidR="006B6EFD">
      <w:fldChar w:fldCharType="separate"/>
    </w:r>
    <w:r w:rsidR="006B6EFD">
      <w:rPr>
        <w:noProof/>
      </w:rPr>
      <w:t>ii</w:t>
    </w:r>
    <w:r w:rsidR="006B6EF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4559F" w14:textId="77777777" w:rsidR="005E019A" w:rsidRDefault="005E019A" w:rsidP="00AE0465">
      <w:pPr>
        <w:spacing w:after="0" w:line="240" w:lineRule="auto"/>
      </w:pPr>
      <w:r>
        <w:separator/>
      </w:r>
    </w:p>
  </w:footnote>
  <w:footnote w:type="continuationSeparator" w:id="0">
    <w:p w14:paraId="1743A180" w14:textId="77777777" w:rsidR="005E019A" w:rsidRDefault="005E019A" w:rsidP="00AE0465">
      <w:pPr>
        <w:spacing w:after="0" w:line="240" w:lineRule="auto"/>
      </w:pPr>
      <w:r>
        <w:continuationSeparator/>
      </w:r>
    </w:p>
  </w:footnote>
  <w:footnote w:type="continuationNotice" w:id="1">
    <w:p w14:paraId="02BEB304" w14:textId="77777777" w:rsidR="005E019A" w:rsidRDefault="005E01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1848065B" w:rsidR="006B6EFD" w:rsidRDefault="00BF3CD4" w:rsidP="00BF3CD4">
    <w:pPr>
      <w:pStyle w:val="Header"/>
      <w:ind w:hanging="567"/>
    </w:pPr>
    <w:r>
      <w:rPr>
        <w:noProof/>
      </w:rPr>
      <w:drawing>
        <wp:inline distT="0" distB="0" distL="0" distR="0" wp14:anchorId="1E28A235" wp14:editId="17E39A3B">
          <wp:extent cx="1371600" cy="340555"/>
          <wp:effectExtent l="0" t="0" r="0" b="2540"/>
          <wp:docPr id="15" name="Picture 15"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5195D6CC" w:rsidR="006B6EFD" w:rsidRDefault="00BF3CD4" w:rsidP="00BF3CD4">
    <w:pPr>
      <w:pStyle w:val="Header"/>
      <w:ind w:hanging="567"/>
    </w:pPr>
    <w:r>
      <w:rPr>
        <w:noProof/>
      </w:rPr>
      <w:drawing>
        <wp:inline distT="0" distB="0" distL="0" distR="0" wp14:anchorId="7C5E2CA4" wp14:editId="43E39C4B">
          <wp:extent cx="1371600" cy="340555"/>
          <wp:effectExtent l="0" t="0" r="0" b="2540"/>
          <wp:docPr id="14" name="Picture 14"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7ACA"/>
    <w:multiLevelType w:val="multilevel"/>
    <w:tmpl w:val="E7E25C5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DD4B1E"/>
    <w:multiLevelType w:val="hybridMultilevel"/>
    <w:tmpl w:val="752A2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3"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7" w15:restartNumberingAfterBreak="0">
    <w:nsid w:val="283A6E29"/>
    <w:multiLevelType w:val="multilevel"/>
    <w:tmpl w:val="E7E25C5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363B56"/>
    <w:multiLevelType w:val="multilevel"/>
    <w:tmpl w:val="E7E25C5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507646"/>
    <w:multiLevelType w:val="hybridMultilevel"/>
    <w:tmpl w:val="7D3E52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3ED539B"/>
    <w:multiLevelType w:val="multilevel"/>
    <w:tmpl w:val="690E950A"/>
    <w:lvl w:ilvl="0">
      <w:start w:val="1"/>
      <w:numFmt w:val="decimal"/>
      <w:lvlText w:val="%1"/>
      <w:lvlJc w:val="left"/>
      <w:pPr>
        <w:ind w:left="360" w:hanging="360"/>
      </w:pPr>
    </w:lvl>
    <w:lvl w:ilvl="1">
      <w:start w:val="8"/>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35692BA8"/>
    <w:multiLevelType w:val="hybridMultilevel"/>
    <w:tmpl w:val="5D700B32"/>
    <w:lvl w:ilvl="0" w:tplc="04090001">
      <w:start w:val="1"/>
      <w:numFmt w:val="bullet"/>
      <w:lvlText w:val=""/>
      <w:lvlJc w:val="left"/>
      <w:pPr>
        <w:ind w:left="360" w:hanging="360"/>
      </w:pPr>
      <w:rPr>
        <w:rFonts w:ascii="Symbol" w:hAnsi="Symbol" w:hint="default"/>
      </w:rPr>
    </w:lvl>
    <w:lvl w:ilvl="1" w:tplc="D1983A54">
      <w:numFmt w:val="bullet"/>
      <w:lvlText w:val="-"/>
      <w:lvlJc w:val="left"/>
      <w:pPr>
        <w:ind w:left="720" w:hanging="360"/>
      </w:pPr>
      <w:rPr>
        <w:rFonts w:ascii="Calibri" w:eastAsiaTheme="minorHAnsi" w:hAnsi="Calibri" w:cs="Calibri" w:hint="default"/>
      </w:rPr>
    </w:lvl>
    <w:lvl w:ilvl="2" w:tplc="10090005">
      <w:start w:val="1"/>
      <w:numFmt w:val="bullet"/>
      <w:lvlText w:val=""/>
      <w:lvlJc w:val="left"/>
      <w:pPr>
        <w:ind w:left="1440" w:hanging="360"/>
      </w:pPr>
      <w:rPr>
        <w:rFonts w:ascii="Wingdings" w:hAnsi="Wingdings" w:hint="default"/>
      </w:rPr>
    </w:lvl>
    <w:lvl w:ilvl="3" w:tplc="10090001">
      <w:start w:val="1"/>
      <w:numFmt w:val="bullet"/>
      <w:lvlText w:val=""/>
      <w:lvlJc w:val="left"/>
      <w:pPr>
        <w:ind w:left="2160" w:hanging="360"/>
      </w:pPr>
      <w:rPr>
        <w:rFonts w:ascii="Symbol" w:hAnsi="Symbol" w:hint="default"/>
      </w:rPr>
    </w:lvl>
    <w:lvl w:ilvl="4" w:tplc="10090003">
      <w:start w:val="1"/>
      <w:numFmt w:val="bullet"/>
      <w:lvlText w:val="o"/>
      <w:lvlJc w:val="left"/>
      <w:pPr>
        <w:ind w:left="2880" w:hanging="360"/>
      </w:pPr>
      <w:rPr>
        <w:rFonts w:ascii="Courier New" w:hAnsi="Courier New" w:cs="Courier New" w:hint="default"/>
      </w:rPr>
    </w:lvl>
    <w:lvl w:ilvl="5" w:tplc="10090005">
      <w:start w:val="1"/>
      <w:numFmt w:val="bullet"/>
      <w:lvlText w:val=""/>
      <w:lvlJc w:val="left"/>
      <w:pPr>
        <w:ind w:left="3600" w:hanging="360"/>
      </w:pPr>
      <w:rPr>
        <w:rFonts w:ascii="Wingdings" w:hAnsi="Wingdings" w:hint="default"/>
      </w:rPr>
    </w:lvl>
    <w:lvl w:ilvl="6" w:tplc="10090001">
      <w:start w:val="1"/>
      <w:numFmt w:val="bullet"/>
      <w:lvlText w:val=""/>
      <w:lvlJc w:val="left"/>
      <w:pPr>
        <w:ind w:left="4320" w:hanging="360"/>
      </w:pPr>
      <w:rPr>
        <w:rFonts w:ascii="Symbol" w:hAnsi="Symbol" w:hint="default"/>
      </w:rPr>
    </w:lvl>
    <w:lvl w:ilvl="7" w:tplc="10090003">
      <w:start w:val="1"/>
      <w:numFmt w:val="bullet"/>
      <w:lvlText w:val="o"/>
      <w:lvlJc w:val="left"/>
      <w:pPr>
        <w:ind w:left="5040" w:hanging="360"/>
      </w:pPr>
      <w:rPr>
        <w:rFonts w:ascii="Courier New" w:hAnsi="Courier New" w:cs="Courier New" w:hint="default"/>
      </w:rPr>
    </w:lvl>
    <w:lvl w:ilvl="8" w:tplc="10090005">
      <w:start w:val="1"/>
      <w:numFmt w:val="bullet"/>
      <w:lvlText w:val=""/>
      <w:lvlJc w:val="left"/>
      <w:pPr>
        <w:ind w:left="5760" w:hanging="360"/>
      </w:pPr>
      <w:rPr>
        <w:rFonts w:ascii="Wingdings" w:hAnsi="Wingdings" w:hint="default"/>
      </w:rPr>
    </w:lvl>
  </w:abstractNum>
  <w:abstractNum w:abstractNumId="12"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148A9"/>
    <w:multiLevelType w:val="hybridMultilevel"/>
    <w:tmpl w:val="85B05B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2E6453B"/>
    <w:multiLevelType w:val="hybridMultilevel"/>
    <w:tmpl w:val="419A0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991037D"/>
    <w:multiLevelType w:val="hybridMultilevel"/>
    <w:tmpl w:val="136689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9A90AE0"/>
    <w:multiLevelType w:val="hybridMultilevel"/>
    <w:tmpl w:val="C38C4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BD73B4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615A3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8C3D5F"/>
    <w:multiLevelType w:val="hybridMultilevel"/>
    <w:tmpl w:val="3D520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E757A5"/>
    <w:multiLevelType w:val="multilevel"/>
    <w:tmpl w:val="32B6BD9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6EB37B0"/>
    <w:multiLevelType w:val="multilevel"/>
    <w:tmpl w:val="458CA33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7" w15:restartNumberingAfterBreak="0">
    <w:nsid w:val="736007BC"/>
    <w:multiLevelType w:val="hybridMultilevel"/>
    <w:tmpl w:val="C824B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6032EC9"/>
    <w:multiLevelType w:val="multilevel"/>
    <w:tmpl w:val="E7E25C5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C807CCB"/>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7D8A6DE7"/>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7FFA6B18"/>
    <w:multiLevelType w:val="hybridMultilevel"/>
    <w:tmpl w:val="9A16D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13"/>
  </w:num>
  <w:num w:numId="4">
    <w:abstractNumId w:val="6"/>
  </w:num>
  <w:num w:numId="5">
    <w:abstractNumId w:val="29"/>
  </w:num>
  <w:num w:numId="6">
    <w:abstractNumId w:val="5"/>
  </w:num>
  <w:num w:numId="7">
    <w:abstractNumId w:val="15"/>
  </w:num>
  <w:num w:numId="8">
    <w:abstractNumId w:val="3"/>
  </w:num>
  <w:num w:numId="9">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31"/>
  </w:num>
  <w:num w:numId="14">
    <w:abstractNumId w:val="11"/>
  </w:num>
  <w:num w:numId="15">
    <w:abstractNumId w:val="18"/>
  </w:num>
  <w:num w:numId="16">
    <w:abstractNumId w:val="27"/>
  </w:num>
  <w:num w:numId="17">
    <w:abstractNumId w:val="16"/>
  </w:num>
  <w:num w:numId="18">
    <w:abstractNumId w:val="1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7"/>
  </w:num>
  <w:num w:numId="21">
    <w:abstractNumId w:val="32"/>
  </w:num>
  <w:num w:numId="22">
    <w:abstractNumId w:val="14"/>
  </w:num>
  <w:num w:numId="23">
    <w:abstractNumId w:val="24"/>
  </w:num>
  <w:num w:numId="24">
    <w:abstractNumId w:val="23"/>
  </w:num>
  <w:num w:numId="25">
    <w:abstractNumId w:val="9"/>
  </w:num>
  <w:num w:numId="26">
    <w:abstractNumId w:val="22"/>
  </w:num>
  <w:num w:numId="27">
    <w:abstractNumId w:val="20"/>
  </w:num>
  <w:num w:numId="28">
    <w:abstractNumId w:val="7"/>
  </w:num>
  <w:num w:numId="29">
    <w:abstractNumId w:val="8"/>
  </w:num>
  <w:num w:numId="30">
    <w:abstractNumId w:val="28"/>
  </w:num>
  <w:num w:numId="31">
    <w:abstractNumId w:val="0"/>
  </w:num>
  <w:num w:numId="32">
    <w:abstractNumId w:val="3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0183C"/>
    <w:rsid w:val="00017B53"/>
    <w:rsid w:val="00065374"/>
    <w:rsid w:val="00073D6D"/>
    <w:rsid w:val="000D6161"/>
    <w:rsid w:val="00181F6B"/>
    <w:rsid w:val="00182502"/>
    <w:rsid w:val="001941D0"/>
    <w:rsid w:val="001A585D"/>
    <w:rsid w:val="001F5D0D"/>
    <w:rsid w:val="00281362"/>
    <w:rsid w:val="002813F1"/>
    <w:rsid w:val="00294333"/>
    <w:rsid w:val="00297F86"/>
    <w:rsid w:val="002A4998"/>
    <w:rsid w:val="002A52BC"/>
    <w:rsid w:val="002B421A"/>
    <w:rsid w:val="00312A74"/>
    <w:rsid w:val="00355C39"/>
    <w:rsid w:val="00391E36"/>
    <w:rsid w:val="00394574"/>
    <w:rsid w:val="003B7EAD"/>
    <w:rsid w:val="003F7912"/>
    <w:rsid w:val="004445C1"/>
    <w:rsid w:val="00473D86"/>
    <w:rsid w:val="004817E1"/>
    <w:rsid w:val="0051323C"/>
    <w:rsid w:val="00534E2D"/>
    <w:rsid w:val="00583EC1"/>
    <w:rsid w:val="005D778C"/>
    <w:rsid w:val="005D784F"/>
    <w:rsid w:val="005E019A"/>
    <w:rsid w:val="005E17E0"/>
    <w:rsid w:val="0063211C"/>
    <w:rsid w:val="00632B6D"/>
    <w:rsid w:val="00641B3F"/>
    <w:rsid w:val="006479DC"/>
    <w:rsid w:val="006B6EFD"/>
    <w:rsid w:val="006E3A7E"/>
    <w:rsid w:val="006E66E3"/>
    <w:rsid w:val="006E679F"/>
    <w:rsid w:val="0071718A"/>
    <w:rsid w:val="007541FC"/>
    <w:rsid w:val="007932A9"/>
    <w:rsid w:val="007A529B"/>
    <w:rsid w:val="00823A04"/>
    <w:rsid w:val="008308F6"/>
    <w:rsid w:val="00891F1A"/>
    <w:rsid w:val="008C53B4"/>
    <w:rsid w:val="008D3876"/>
    <w:rsid w:val="008E5A98"/>
    <w:rsid w:val="008F34E0"/>
    <w:rsid w:val="008F37F9"/>
    <w:rsid w:val="009440D7"/>
    <w:rsid w:val="00967DC8"/>
    <w:rsid w:val="0098192A"/>
    <w:rsid w:val="0098620A"/>
    <w:rsid w:val="009A445E"/>
    <w:rsid w:val="009B217A"/>
    <w:rsid w:val="009C0B30"/>
    <w:rsid w:val="009F2314"/>
    <w:rsid w:val="009F31E3"/>
    <w:rsid w:val="00A422AD"/>
    <w:rsid w:val="00A769C3"/>
    <w:rsid w:val="00AA3A12"/>
    <w:rsid w:val="00AE0465"/>
    <w:rsid w:val="00B23BA1"/>
    <w:rsid w:val="00B64BFF"/>
    <w:rsid w:val="00B6545E"/>
    <w:rsid w:val="00B73FD6"/>
    <w:rsid w:val="00BF3CD4"/>
    <w:rsid w:val="00C125CD"/>
    <w:rsid w:val="00C214F9"/>
    <w:rsid w:val="00C62AE5"/>
    <w:rsid w:val="00C7462D"/>
    <w:rsid w:val="00CE7468"/>
    <w:rsid w:val="00D061A7"/>
    <w:rsid w:val="00D441A5"/>
    <w:rsid w:val="00D576D9"/>
    <w:rsid w:val="00D86F0E"/>
    <w:rsid w:val="00DA62C3"/>
    <w:rsid w:val="00DE4E78"/>
    <w:rsid w:val="00E22C5E"/>
    <w:rsid w:val="00E76736"/>
    <w:rsid w:val="00E90DAA"/>
    <w:rsid w:val="00ED3960"/>
    <w:rsid w:val="00FA0305"/>
    <w:rsid w:val="00FA270E"/>
    <w:rsid w:val="00FD0C7E"/>
    <w:rsid w:val="00FF47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6479DC"/>
    <w:pPr>
      <w:tabs>
        <w:tab w:val="right" w:leader="dot" w:pos="9350"/>
      </w:tabs>
      <w:spacing w:after="24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99"/>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6E3A7E"/>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065374"/>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065374"/>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065374"/>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065374"/>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065374"/>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065374"/>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065374"/>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0078">
      <w:bodyDiv w:val="1"/>
      <w:marLeft w:val="0"/>
      <w:marRight w:val="0"/>
      <w:marTop w:val="0"/>
      <w:marBottom w:val="0"/>
      <w:divBdr>
        <w:top w:val="none" w:sz="0" w:space="0" w:color="auto"/>
        <w:left w:val="none" w:sz="0" w:space="0" w:color="auto"/>
        <w:bottom w:val="none" w:sz="0" w:space="0" w:color="auto"/>
        <w:right w:val="none" w:sz="0" w:space="0" w:color="auto"/>
      </w:divBdr>
    </w:div>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489755655">
      <w:bodyDiv w:val="1"/>
      <w:marLeft w:val="0"/>
      <w:marRight w:val="0"/>
      <w:marTop w:val="0"/>
      <w:marBottom w:val="0"/>
      <w:divBdr>
        <w:top w:val="none" w:sz="0" w:space="0" w:color="auto"/>
        <w:left w:val="none" w:sz="0" w:space="0" w:color="auto"/>
        <w:bottom w:val="none" w:sz="0" w:space="0" w:color="auto"/>
        <w:right w:val="none" w:sz="0" w:space="0" w:color="auto"/>
      </w:divBdr>
    </w:div>
    <w:div w:id="498545581">
      <w:bodyDiv w:val="1"/>
      <w:marLeft w:val="0"/>
      <w:marRight w:val="0"/>
      <w:marTop w:val="0"/>
      <w:marBottom w:val="0"/>
      <w:divBdr>
        <w:top w:val="none" w:sz="0" w:space="0" w:color="auto"/>
        <w:left w:val="none" w:sz="0" w:space="0" w:color="auto"/>
        <w:bottom w:val="none" w:sz="0" w:space="0" w:color="auto"/>
        <w:right w:val="none" w:sz="0" w:space="0" w:color="auto"/>
      </w:divBdr>
    </w:div>
    <w:div w:id="1306198551">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1730768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180034245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D5376-6B88-445E-913E-B7DF16591E86}"/>
</file>

<file path=customXml/itemProps2.xml><?xml version="1.0" encoding="utf-8"?>
<ds:datastoreItem xmlns:ds="http://schemas.openxmlformats.org/officeDocument/2006/customXml" ds:itemID="{13833325-47FB-483E-A603-DB9E2961AB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D75F92-7555-415A-B158-BF723D819B41}">
  <ds:schemaRefs>
    <ds:schemaRef ds:uri="http://schemas.microsoft.com/sharepoint/v3/contenttype/forms"/>
  </ds:schemaRefs>
</ds:datastoreItem>
</file>

<file path=customXml/itemProps4.xml><?xml version="1.0" encoding="utf-8"?>
<ds:datastoreItem xmlns:ds="http://schemas.openxmlformats.org/officeDocument/2006/customXml" ds:itemID="{F331DB45-FAE8-45C5-BE4D-065FBD8AE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Hadeel AlZuhairi</cp:lastModifiedBy>
  <cp:revision>12</cp:revision>
  <cp:lastPrinted>2020-12-09T19:55:00Z</cp:lastPrinted>
  <dcterms:created xsi:type="dcterms:W3CDTF">2022-02-16T19:13:00Z</dcterms:created>
  <dcterms:modified xsi:type="dcterms:W3CDTF">2022-02-16T19:17:00Z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212500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