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1353" w14:textId="77777777" w:rsidR="00C51349" w:rsidRDefault="00C51349" w:rsidP="00C51349">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6529F8DE" wp14:editId="163D52D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0FBC01F4" w14:textId="49C4A3AB" w:rsidR="00C51349" w:rsidRDefault="00C51349" w:rsidP="00C51349">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IT105 </w:t>
                            </w:r>
                            <w:r>
                              <w:rPr>
                                <w:rFonts w:ascii="Helvetica Neue Medium" w:hAnsi="Helvetica Neue Medium"/>
                                <w:color w:val="FFFFFF"/>
                                <w:sz w:val="58"/>
                                <w:szCs w:val="58"/>
                                <w:u w:color="FFFFFF"/>
                              </w:rPr>
                              <w:br/>
                              <w:t xml:space="preserve">Risk </w:t>
                            </w:r>
                            <w:r>
                              <w:rPr>
                                <w:rFonts w:ascii="Helvetica Neue Medium" w:hAnsi="Helvetica Neue Medium" w:hint="eastAsia"/>
                                <w:color w:val="FFFFFF"/>
                                <w:sz w:val="58"/>
                                <w:szCs w:val="58"/>
                                <w:u w:color="FFFFFF"/>
                              </w:rPr>
                              <w:t>M</w:t>
                            </w:r>
                            <w:r>
                              <w:rPr>
                                <w:rFonts w:ascii="Helvetica Neue Medium" w:hAnsi="Helvetica Neue Medium"/>
                                <w:color w:val="FFFFFF"/>
                                <w:sz w:val="58"/>
                                <w:szCs w:val="58"/>
                                <w:u w:color="FFFFFF"/>
                              </w:rPr>
                              <w:t>anagement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6529F8DE"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0FBC01F4" w14:textId="49C4A3AB" w:rsidR="00C51349" w:rsidRDefault="00C51349" w:rsidP="00C51349">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IT105 </w:t>
                      </w:r>
                      <w:r>
                        <w:rPr>
                          <w:rFonts w:ascii="Helvetica Neue Medium" w:hAnsi="Helvetica Neue Medium"/>
                          <w:color w:val="FFFFFF"/>
                          <w:sz w:val="58"/>
                          <w:szCs w:val="58"/>
                          <w:u w:color="FFFFFF"/>
                        </w:rPr>
                        <w:br/>
                        <w:t xml:space="preserve">Risk </w:t>
                      </w:r>
                      <w:r>
                        <w:rPr>
                          <w:rFonts w:ascii="Helvetica Neue Medium" w:hAnsi="Helvetica Neue Medium" w:hint="eastAsia"/>
                          <w:color w:val="FFFFFF"/>
                          <w:sz w:val="58"/>
                          <w:szCs w:val="58"/>
                          <w:u w:color="FFFFFF"/>
                        </w:rPr>
                        <w:t>M</w:t>
                      </w:r>
                      <w:r>
                        <w:rPr>
                          <w:rFonts w:ascii="Helvetica Neue Medium" w:hAnsi="Helvetica Neue Medium"/>
                          <w:color w:val="FFFFFF"/>
                          <w:sz w:val="58"/>
                          <w:szCs w:val="58"/>
                          <w:u w:color="FFFFFF"/>
                        </w:rPr>
                        <w:t>anagement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499EC5A9" wp14:editId="6B11C4E6">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C51349" w:rsidRPr="007C4040" w14:paraId="7B0DA31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AA3B74C" w14:textId="77777777" w:rsidR="00C51349" w:rsidRPr="007C4040" w:rsidRDefault="00C51349"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5BBA74A" w14:textId="77777777" w:rsidR="00C51349" w:rsidRPr="007C4040" w:rsidRDefault="00C51349" w:rsidP="007C4040">
                                  <w:pPr>
                                    <w:pStyle w:val="S-Frontpage"/>
                                    <w:rPr>
                                      <w:rFonts w:hint="eastAsia"/>
                                      <w:sz w:val="20"/>
                                      <w:szCs w:val="20"/>
                                    </w:rPr>
                                  </w:pPr>
                                  <w:r w:rsidRPr="007C4040">
                                    <w:rPr>
                                      <w:sz w:val="20"/>
                                      <w:szCs w:val="20"/>
                                    </w:rPr>
                                    <w:t>Final</w:t>
                                  </w:r>
                                </w:p>
                              </w:tc>
                            </w:tr>
                            <w:tr w:rsidR="00C51349" w:rsidRPr="007C4040" w14:paraId="27CB821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5358D34" w14:textId="77777777" w:rsidR="00C51349" w:rsidRPr="007C4040" w:rsidRDefault="00C51349"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0276EF6B" w14:textId="1ECD6FBC" w:rsidR="00C51349" w:rsidRPr="007C4040" w:rsidRDefault="00C51349" w:rsidP="007C4040">
                                  <w:pPr>
                                    <w:pStyle w:val="S-Frontpage"/>
                                    <w:rPr>
                                      <w:rFonts w:hint="eastAsia"/>
                                      <w:sz w:val="20"/>
                                      <w:szCs w:val="20"/>
                                    </w:rPr>
                                  </w:pPr>
                                  <w:r w:rsidRPr="007C4040">
                                    <w:rPr>
                                      <w:sz w:val="20"/>
                                      <w:szCs w:val="20"/>
                                    </w:rPr>
                                    <w:t>1.</w:t>
                                  </w:r>
                                  <w:r w:rsidR="00A24E47">
                                    <w:rPr>
                                      <w:sz w:val="20"/>
                                      <w:szCs w:val="20"/>
                                    </w:rPr>
                                    <w:t>1</w:t>
                                  </w:r>
                                  <w:r w:rsidR="00DF0927">
                                    <w:rPr>
                                      <w:sz w:val="20"/>
                                      <w:szCs w:val="20"/>
                                    </w:rPr>
                                    <w:t>2</w:t>
                                  </w:r>
                                </w:p>
                              </w:tc>
                            </w:tr>
                            <w:tr w:rsidR="00C51349" w:rsidRPr="007C4040" w14:paraId="332E94B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54A51E6" w14:textId="77777777" w:rsidR="00C51349" w:rsidRPr="007C4040" w:rsidRDefault="00C51349"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4F34AF1C" w14:textId="77777777" w:rsidR="00C51349" w:rsidRPr="007C4040" w:rsidRDefault="00C51349" w:rsidP="007C4040">
                                  <w:pPr>
                                    <w:pStyle w:val="S-Frontpage"/>
                                    <w:rPr>
                                      <w:rFonts w:hint="eastAsia"/>
                                      <w:sz w:val="20"/>
                                      <w:szCs w:val="20"/>
                                    </w:rPr>
                                  </w:pPr>
                                  <w:r w:rsidRPr="007C4040">
                                    <w:rPr>
                                      <w:sz w:val="20"/>
                                      <w:szCs w:val="20"/>
                                    </w:rPr>
                                    <w:t>Confidential</w:t>
                                  </w:r>
                                </w:p>
                              </w:tc>
                            </w:tr>
                            <w:tr w:rsidR="00C51349" w:rsidRPr="007C4040" w14:paraId="31F2C2E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D0D397B" w14:textId="77777777" w:rsidR="00C51349" w:rsidRPr="007C4040" w:rsidRDefault="00C51349"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F62F236" w14:textId="77777777" w:rsidR="00C51349" w:rsidRPr="007C4040" w:rsidRDefault="00C51349" w:rsidP="007C4040">
                                  <w:pPr>
                                    <w:pStyle w:val="S-Frontpage"/>
                                    <w:rPr>
                                      <w:rFonts w:hint="eastAsia"/>
                                      <w:sz w:val="20"/>
                                      <w:szCs w:val="20"/>
                                    </w:rPr>
                                  </w:pPr>
                                  <w:r w:rsidRPr="007C4040">
                                    <w:rPr>
                                      <w:sz w:val="20"/>
                                      <w:szCs w:val="20"/>
                                    </w:rPr>
                                    <w:t>Razvan Anghelidi, Directory of IT</w:t>
                                  </w:r>
                                </w:p>
                              </w:tc>
                            </w:tr>
                            <w:tr w:rsidR="00C51349" w:rsidRPr="007C4040" w14:paraId="2F072A61"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492B1398" w14:textId="77777777" w:rsidR="00C51349" w:rsidRPr="007C4040" w:rsidRDefault="00C51349"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49B909A" w14:textId="77777777" w:rsidR="00C51349" w:rsidRPr="007C4040" w:rsidRDefault="00C51349" w:rsidP="007C4040">
                                  <w:pPr>
                                    <w:pStyle w:val="S-Frontpage"/>
                                    <w:rPr>
                                      <w:rFonts w:hint="eastAsia"/>
                                      <w:sz w:val="20"/>
                                      <w:szCs w:val="20"/>
                                    </w:rPr>
                                  </w:pPr>
                                  <w:r w:rsidRPr="007C4040">
                                    <w:rPr>
                                      <w:sz w:val="20"/>
                                      <w:szCs w:val="20"/>
                                    </w:rPr>
                                    <w:t>1705 Tech Avenue, Unit 3, Mississauga, ON, L4W 0A2, Canada</w:t>
                                  </w:r>
                                </w:p>
                              </w:tc>
                            </w:tr>
                          </w:tbl>
                          <w:p w14:paraId="40F19B30" w14:textId="77777777" w:rsidR="00C51349" w:rsidRPr="007C4040" w:rsidRDefault="00C51349" w:rsidP="00C51349">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499EC5A9"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C51349" w:rsidRPr="007C4040" w14:paraId="7B0DA31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AA3B74C" w14:textId="77777777" w:rsidR="00C51349" w:rsidRPr="007C4040" w:rsidRDefault="00C51349"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5BBA74A" w14:textId="77777777" w:rsidR="00C51349" w:rsidRPr="007C4040" w:rsidRDefault="00C51349" w:rsidP="007C4040">
                            <w:pPr>
                              <w:pStyle w:val="S-Frontpage"/>
                              <w:rPr>
                                <w:rFonts w:hint="eastAsia"/>
                                <w:sz w:val="20"/>
                                <w:szCs w:val="20"/>
                              </w:rPr>
                            </w:pPr>
                            <w:r w:rsidRPr="007C4040">
                              <w:rPr>
                                <w:sz w:val="20"/>
                                <w:szCs w:val="20"/>
                              </w:rPr>
                              <w:t>Final</w:t>
                            </w:r>
                          </w:p>
                        </w:tc>
                      </w:tr>
                      <w:tr w:rsidR="00C51349" w:rsidRPr="007C4040" w14:paraId="27CB821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5358D34" w14:textId="77777777" w:rsidR="00C51349" w:rsidRPr="007C4040" w:rsidRDefault="00C51349"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0276EF6B" w14:textId="1ECD6FBC" w:rsidR="00C51349" w:rsidRPr="007C4040" w:rsidRDefault="00C51349" w:rsidP="007C4040">
                            <w:pPr>
                              <w:pStyle w:val="S-Frontpage"/>
                              <w:rPr>
                                <w:rFonts w:hint="eastAsia"/>
                                <w:sz w:val="20"/>
                                <w:szCs w:val="20"/>
                              </w:rPr>
                            </w:pPr>
                            <w:r w:rsidRPr="007C4040">
                              <w:rPr>
                                <w:sz w:val="20"/>
                                <w:szCs w:val="20"/>
                              </w:rPr>
                              <w:t>1.</w:t>
                            </w:r>
                            <w:r w:rsidR="00A24E47">
                              <w:rPr>
                                <w:sz w:val="20"/>
                                <w:szCs w:val="20"/>
                              </w:rPr>
                              <w:t>1</w:t>
                            </w:r>
                            <w:r w:rsidR="00DF0927">
                              <w:rPr>
                                <w:sz w:val="20"/>
                                <w:szCs w:val="20"/>
                              </w:rPr>
                              <w:t>2</w:t>
                            </w:r>
                          </w:p>
                        </w:tc>
                      </w:tr>
                      <w:tr w:rsidR="00C51349" w:rsidRPr="007C4040" w14:paraId="332E94B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54A51E6" w14:textId="77777777" w:rsidR="00C51349" w:rsidRPr="007C4040" w:rsidRDefault="00C51349"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4F34AF1C" w14:textId="77777777" w:rsidR="00C51349" w:rsidRPr="007C4040" w:rsidRDefault="00C51349" w:rsidP="007C4040">
                            <w:pPr>
                              <w:pStyle w:val="S-Frontpage"/>
                              <w:rPr>
                                <w:rFonts w:hint="eastAsia"/>
                                <w:sz w:val="20"/>
                                <w:szCs w:val="20"/>
                              </w:rPr>
                            </w:pPr>
                            <w:r w:rsidRPr="007C4040">
                              <w:rPr>
                                <w:sz w:val="20"/>
                                <w:szCs w:val="20"/>
                              </w:rPr>
                              <w:t>Confidential</w:t>
                            </w:r>
                          </w:p>
                        </w:tc>
                      </w:tr>
                      <w:tr w:rsidR="00C51349" w:rsidRPr="007C4040" w14:paraId="31F2C2E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D0D397B" w14:textId="77777777" w:rsidR="00C51349" w:rsidRPr="007C4040" w:rsidRDefault="00C51349"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F62F236" w14:textId="77777777" w:rsidR="00C51349" w:rsidRPr="007C4040" w:rsidRDefault="00C51349" w:rsidP="007C4040">
                            <w:pPr>
                              <w:pStyle w:val="S-Frontpage"/>
                              <w:rPr>
                                <w:rFonts w:hint="eastAsia"/>
                                <w:sz w:val="20"/>
                                <w:szCs w:val="20"/>
                              </w:rPr>
                            </w:pPr>
                            <w:r w:rsidRPr="007C4040">
                              <w:rPr>
                                <w:sz w:val="20"/>
                                <w:szCs w:val="20"/>
                              </w:rPr>
                              <w:t>Razvan Anghelidi, Directory of IT</w:t>
                            </w:r>
                          </w:p>
                        </w:tc>
                      </w:tr>
                      <w:tr w:rsidR="00C51349" w:rsidRPr="007C4040" w14:paraId="2F072A61"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492B1398" w14:textId="77777777" w:rsidR="00C51349" w:rsidRPr="007C4040" w:rsidRDefault="00C51349"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49B909A" w14:textId="77777777" w:rsidR="00C51349" w:rsidRPr="007C4040" w:rsidRDefault="00C51349" w:rsidP="007C4040">
                            <w:pPr>
                              <w:pStyle w:val="S-Frontpage"/>
                              <w:rPr>
                                <w:rFonts w:hint="eastAsia"/>
                                <w:sz w:val="20"/>
                                <w:szCs w:val="20"/>
                              </w:rPr>
                            </w:pPr>
                            <w:r w:rsidRPr="007C4040">
                              <w:rPr>
                                <w:sz w:val="20"/>
                                <w:szCs w:val="20"/>
                              </w:rPr>
                              <w:t>1705 Tech Avenue, Unit 3, Mississauga, ON, L4W 0A2, Canada</w:t>
                            </w:r>
                          </w:p>
                        </w:tc>
                      </w:tr>
                    </w:tbl>
                    <w:p w14:paraId="40F19B30" w14:textId="77777777" w:rsidR="00C51349" w:rsidRPr="007C4040" w:rsidRDefault="00C51349" w:rsidP="00C51349">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23BBA9F6" wp14:editId="71740653">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0B2394B1" wp14:editId="6F0C0B90">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65F3FF9"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3C24752B" wp14:editId="5DAFD52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C0C5402" w14:textId="77777777" w:rsidR="00C51349" w:rsidRDefault="00C51349" w:rsidP="00C51349">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C24752B"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6C0C5402" w14:textId="77777777" w:rsidR="00C51349" w:rsidRDefault="00C51349" w:rsidP="00C51349">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71E94D03" w14:textId="2835BF79" w:rsidR="00AE0465" w:rsidRDefault="00AE0465" w:rsidP="00AE0465"/>
    <w:p w14:paraId="3E568861" w14:textId="18BAB5E0" w:rsidR="009F256B" w:rsidRDefault="009F256B" w:rsidP="00AE0465"/>
    <w:p w14:paraId="4DE01489" w14:textId="77777777" w:rsidR="009F256B" w:rsidRDefault="009F256B" w:rsidP="00AE0465"/>
    <w:p w14:paraId="1E3C5CA2" w14:textId="23E0E083" w:rsidR="00AE0465" w:rsidRDefault="00AE0465" w:rsidP="00AE0465"/>
    <w:p w14:paraId="0511B48C" w14:textId="77777777" w:rsidR="00E22C5E" w:rsidRDefault="00E22C5E"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Pr="007F16AF" w:rsidRDefault="00AE0465" w:rsidP="00AE0465">
          <w:pPr>
            <w:pStyle w:val="TOCHeading"/>
            <w:rPr>
              <w:sz w:val="24"/>
              <w:szCs w:val="24"/>
            </w:rPr>
          </w:pPr>
        </w:p>
        <w:p w14:paraId="1710B151" w14:textId="628A52D5" w:rsidR="00C125CD" w:rsidRPr="007F16AF" w:rsidRDefault="00AE0465" w:rsidP="00C125CD">
          <w:pPr>
            <w:pStyle w:val="TOC1"/>
            <w:tabs>
              <w:tab w:val="right" w:leader="dot" w:pos="9350"/>
            </w:tabs>
            <w:spacing w:after="240"/>
            <w:rPr>
              <w:rFonts w:eastAsiaTheme="minorEastAsia"/>
              <w:noProof/>
              <w:sz w:val="24"/>
              <w:szCs w:val="24"/>
              <w:lang w:val="en-CA" w:eastAsia="en-CA"/>
            </w:rPr>
          </w:pPr>
          <w:r w:rsidRPr="007F16AF">
            <w:rPr>
              <w:rStyle w:val="BookTitle"/>
              <w:sz w:val="24"/>
              <w:szCs w:val="24"/>
            </w:rPr>
            <w:fldChar w:fldCharType="begin"/>
          </w:r>
          <w:r w:rsidRPr="007F16AF">
            <w:rPr>
              <w:rStyle w:val="BookTitle"/>
              <w:sz w:val="24"/>
              <w:szCs w:val="24"/>
            </w:rPr>
            <w:instrText xml:space="preserve"> TOC \o "1-1" \h \z \u </w:instrText>
          </w:r>
          <w:r w:rsidRPr="007F16AF">
            <w:rPr>
              <w:rStyle w:val="BookTitle"/>
              <w:sz w:val="24"/>
              <w:szCs w:val="24"/>
            </w:rPr>
            <w:fldChar w:fldCharType="separate"/>
          </w:r>
          <w:hyperlink w:anchor="_Toc23349323" w:history="1">
            <w:r w:rsidR="00C125CD" w:rsidRPr="007F16AF">
              <w:rPr>
                <w:rStyle w:val="Hyperlink"/>
                <w:noProof/>
                <w:sz w:val="24"/>
                <w:szCs w:val="24"/>
              </w:rPr>
              <w:t>Document Control</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_Toc23349323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iii</w:t>
            </w:r>
            <w:r w:rsidR="00C125CD" w:rsidRPr="007F16AF">
              <w:rPr>
                <w:noProof/>
                <w:webHidden/>
                <w:sz w:val="24"/>
                <w:szCs w:val="24"/>
              </w:rPr>
              <w:fldChar w:fldCharType="end"/>
            </w:r>
          </w:hyperlink>
        </w:p>
        <w:p w14:paraId="766F2ED7" w14:textId="45ED6B66"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24" w:history="1">
            <w:r w:rsidR="00C125CD" w:rsidRPr="007F16AF">
              <w:rPr>
                <w:rStyle w:val="Hyperlink"/>
                <w:noProof/>
                <w:sz w:val="24"/>
                <w:szCs w:val="24"/>
              </w:rPr>
              <w:t>Introduction</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_Toc23349324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4</w:t>
            </w:r>
            <w:r w:rsidR="00C125CD" w:rsidRPr="007F16AF">
              <w:rPr>
                <w:noProof/>
                <w:webHidden/>
                <w:sz w:val="24"/>
                <w:szCs w:val="24"/>
              </w:rPr>
              <w:fldChar w:fldCharType="end"/>
            </w:r>
          </w:hyperlink>
        </w:p>
        <w:p w14:paraId="2264D3B6" w14:textId="260C6921"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25" w:history="1">
            <w:r w:rsidR="00C125CD" w:rsidRPr="007F16AF">
              <w:rPr>
                <w:rStyle w:val="Hyperlink"/>
                <w:noProof/>
                <w:sz w:val="24"/>
                <w:szCs w:val="24"/>
              </w:rPr>
              <w:t>Purpose</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_Toc23349325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4</w:t>
            </w:r>
            <w:r w:rsidR="00C125CD" w:rsidRPr="007F16AF">
              <w:rPr>
                <w:noProof/>
                <w:webHidden/>
                <w:sz w:val="24"/>
                <w:szCs w:val="24"/>
              </w:rPr>
              <w:fldChar w:fldCharType="end"/>
            </w:r>
          </w:hyperlink>
        </w:p>
        <w:p w14:paraId="111AAC49" w14:textId="74C3C9CA"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26" w:history="1">
            <w:r w:rsidR="00C125CD" w:rsidRPr="007F16AF">
              <w:rPr>
                <w:rStyle w:val="Hyperlink"/>
                <w:noProof/>
                <w:sz w:val="24"/>
                <w:szCs w:val="24"/>
              </w:rPr>
              <w:t>Audience</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_Toc23349326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4</w:t>
            </w:r>
            <w:r w:rsidR="00C125CD" w:rsidRPr="007F16AF">
              <w:rPr>
                <w:noProof/>
                <w:webHidden/>
                <w:sz w:val="24"/>
                <w:szCs w:val="24"/>
              </w:rPr>
              <w:fldChar w:fldCharType="end"/>
            </w:r>
          </w:hyperlink>
        </w:p>
        <w:p w14:paraId="475024B7" w14:textId="13B90AF4"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27" w:history="1">
            <w:r w:rsidR="00C125CD" w:rsidRPr="007F16AF">
              <w:rPr>
                <w:rStyle w:val="Hyperlink"/>
                <w:noProof/>
                <w:sz w:val="24"/>
                <w:szCs w:val="24"/>
              </w:rPr>
              <w:t>Scope</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_Toc23349327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5</w:t>
            </w:r>
            <w:r w:rsidR="00C125CD" w:rsidRPr="007F16AF">
              <w:rPr>
                <w:noProof/>
                <w:webHidden/>
                <w:sz w:val="24"/>
                <w:szCs w:val="24"/>
              </w:rPr>
              <w:fldChar w:fldCharType="end"/>
            </w:r>
          </w:hyperlink>
        </w:p>
        <w:p w14:paraId="689D6329" w14:textId="5AD3BD68"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28" w:history="1">
            <w:r w:rsidR="00C125CD" w:rsidRPr="007F16AF">
              <w:rPr>
                <w:rStyle w:val="Hyperlink"/>
                <w:noProof/>
                <w:sz w:val="24"/>
                <w:szCs w:val="24"/>
              </w:rPr>
              <w:t>Policy Statement</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_Toc23349328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5</w:t>
            </w:r>
            <w:r w:rsidR="00C125CD" w:rsidRPr="007F16AF">
              <w:rPr>
                <w:noProof/>
                <w:webHidden/>
                <w:sz w:val="24"/>
                <w:szCs w:val="24"/>
              </w:rPr>
              <w:fldChar w:fldCharType="end"/>
            </w:r>
          </w:hyperlink>
        </w:p>
        <w:p w14:paraId="78F1FE33" w14:textId="52DAFC03"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29" w:history="1">
            <w:r w:rsidR="00C125CD" w:rsidRPr="007F16AF">
              <w:rPr>
                <w:rStyle w:val="Hyperlink"/>
                <w:noProof/>
                <w:sz w:val="24"/>
                <w:szCs w:val="24"/>
              </w:rPr>
              <w:t>Enforcement</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_Toc23349329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11</w:t>
            </w:r>
            <w:r w:rsidR="00C125CD" w:rsidRPr="007F16AF">
              <w:rPr>
                <w:noProof/>
                <w:webHidden/>
                <w:sz w:val="24"/>
                <w:szCs w:val="24"/>
              </w:rPr>
              <w:fldChar w:fldCharType="end"/>
            </w:r>
          </w:hyperlink>
        </w:p>
        <w:p w14:paraId="76B1D05A" w14:textId="252C60F0" w:rsidR="00C125CD" w:rsidRPr="007F16AF" w:rsidRDefault="00000000" w:rsidP="00C125CD">
          <w:pPr>
            <w:pStyle w:val="TOC1"/>
            <w:tabs>
              <w:tab w:val="right" w:leader="dot" w:pos="9350"/>
            </w:tabs>
            <w:spacing w:after="240"/>
            <w:rPr>
              <w:rFonts w:eastAsiaTheme="minorEastAsia"/>
              <w:noProof/>
              <w:sz w:val="24"/>
              <w:szCs w:val="24"/>
              <w:lang w:val="en-CA" w:eastAsia="en-CA"/>
            </w:rPr>
          </w:pPr>
          <w:hyperlink w:anchor="_Toc23349330" w:history="1">
            <w:r w:rsidR="00C125CD" w:rsidRPr="007F16AF">
              <w:rPr>
                <w:rStyle w:val="Hyperlink"/>
                <w:noProof/>
                <w:sz w:val="24"/>
                <w:szCs w:val="24"/>
              </w:rPr>
              <w:t>Revision History</w:t>
            </w:r>
            <w:r w:rsidR="00C125CD" w:rsidRPr="007F16AF">
              <w:rPr>
                <w:noProof/>
                <w:webHidden/>
                <w:sz w:val="24"/>
                <w:szCs w:val="24"/>
              </w:rPr>
              <w:tab/>
            </w:r>
            <w:r w:rsidR="00C125CD" w:rsidRPr="007F16AF">
              <w:rPr>
                <w:noProof/>
                <w:webHidden/>
                <w:sz w:val="24"/>
                <w:szCs w:val="24"/>
              </w:rPr>
              <w:fldChar w:fldCharType="begin"/>
            </w:r>
            <w:r w:rsidR="00C125CD" w:rsidRPr="007F16AF">
              <w:rPr>
                <w:noProof/>
                <w:webHidden/>
                <w:sz w:val="24"/>
                <w:szCs w:val="24"/>
              </w:rPr>
              <w:instrText xml:space="preserve"> PAGEREF _Toc23349330 \h </w:instrText>
            </w:r>
            <w:r w:rsidR="00C125CD" w:rsidRPr="007F16AF">
              <w:rPr>
                <w:noProof/>
                <w:webHidden/>
                <w:sz w:val="24"/>
                <w:szCs w:val="24"/>
              </w:rPr>
            </w:r>
            <w:r w:rsidR="00C125CD" w:rsidRPr="007F16AF">
              <w:rPr>
                <w:noProof/>
                <w:webHidden/>
                <w:sz w:val="24"/>
                <w:szCs w:val="24"/>
              </w:rPr>
              <w:fldChar w:fldCharType="separate"/>
            </w:r>
            <w:r w:rsidR="006E2B2C" w:rsidRPr="007F16AF">
              <w:rPr>
                <w:noProof/>
                <w:webHidden/>
                <w:sz w:val="24"/>
                <w:szCs w:val="24"/>
              </w:rPr>
              <w:t>11</w:t>
            </w:r>
            <w:r w:rsidR="00C125CD" w:rsidRPr="007F16AF">
              <w:rPr>
                <w:noProof/>
                <w:webHidden/>
                <w:sz w:val="24"/>
                <w:szCs w:val="24"/>
              </w:rPr>
              <w:fldChar w:fldCharType="end"/>
            </w:r>
          </w:hyperlink>
        </w:p>
        <w:p w14:paraId="118A2F58" w14:textId="23D0A9D9" w:rsidR="00AE0465" w:rsidRDefault="00AE0465" w:rsidP="00C125CD">
          <w:pPr>
            <w:spacing w:after="240"/>
          </w:pPr>
          <w:r w:rsidRPr="007F16AF">
            <w:rPr>
              <w:rStyle w:val="BookTitle"/>
              <w:sz w:val="24"/>
              <w:szCs w:val="24"/>
            </w:rPr>
            <w:fldChar w:fldCharType="end"/>
          </w:r>
        </w:p>
      </w:sdtContent>
    </w:sdt>
    <w:p w14:paraId="7D46EEA6" w14:textId="77777777" w:rsidR="00AE0465" w:rsidRPr="005169E3" w:rsidRDefault="00AE0465" w:rsidP="00AE0465"/>
    <w:p w14:paraId="529467BF" w14:textId="77777777" w:rsidR="007F16AF" w:rsidRDefault="007F16AF" w:rsidP="007F16AF">
      <w:pPr>
        <w:pStyle w:val="S-SubHeading"/>
        <w:rPr>
          <w:rFonts w:hint="eastAsia"/>
          <w:color w:val="FF0000"/>
        </w:rPr>
      </w:pPr>
    </w:p>
    <w:p w14:paraId="62D15E0A" w14:textId="77777777" w:rsidR="007F16AF" w:rsidRDefault="007F16AF" w:rsidP="007F16AF">
      <w:pPr>
        <w:pStyle w:val="S-SubHeading"/>
        <w:rPr>
          <w:rFonts w:hint="eastAsia"/>
          <w:color w:val="FF0000"/>
        </w:rPr>
      </w:pPr>
    </w:p>
    <w:p w14:paraId="5E08D776" w14:textId="77777777" w:rsidR="007F16AF" w:rsidRDefault="007F16AF" w:rsidP="007F16AF">
      <w:pPr>
        <w:pStyle w:val="S-SubHeading"/>
        <w:rPr>
          <w:rFonts w:hint="eastAsia"/>
          <w:color w:val="FF0000"/>
        </w:rPr>
      </w:pPr>
    </w:p>
    <w:p w14:paraId="42ADC1D5" w14:textId="77777777" w:rsidR="007F16AF" w:rsidRDefault="007F16AF" w:rsidP="007F16AF">
      <w:pPr>
        <w:pStyle w:val="S-SubHeading"/>
        <w:rPr>
          <w:rFonts w:hint="eastAsia"/>
          <w:color w:val="FF0000"/>
        </w:rPr>
      </w:pPr>
    </w:p>
    <w:p w14:paraId="3DAED07A" w14:textId="77777777" w:rsidR="007F16AF" w:rsidRDefault="007F16AF" w:rsidP="007F16AF">
      <w:pPr>
        <w:pStyle w:val="S-SubHeading"/>
        <w:rPr>
          <w:rFonts w:hint="eastAsia"/>
          <w:color w:val="FF0000"/>
        </w:rPr>
      </w:pPr>
    </w:p>
    <w:p w14:paraId="41F7C3CD" w14:textId="77777777" w:rsidR="007F16AF" w:rsidRDefault="007F16AF" w:rsidP="007F16AF">
      <w:pPr>
        <w:pStyle w:val="S-SubHeading"/>
        <w:rPr>
          <w:rFonts w:hint="eastAsia"/>
          <w:color w:val="FF0000"/>
        </w:rPr>
      </w:pPr>
    </w:p>
    <w:p w14:paraId="18EEBEA2" w14:textId="7680B048" w:rsidR="007F16AF" w:rsidRPr="007F16AF" w:rsidRDefault="007F16AF" w:rsidP="007F16AF">
      <w:pPr>
        <w:pStyle w:val="S-SubHeading"/>
        <w:rPr>
          <w:rFonts w:hint="eastAsia"/>
          <w:color w:val="FF0000"/>
        </w:rPr>
      </w:pPr>
      <w:r w:rsidRPr="007F16AF">
        <w:rPr>
          <w:color w:val="FF0000"/>
        </w:rPr>
        <w:lastRenderedPageBreak/>
        <w:t>All rights reserved</w:t>
      </w:r>
    </w:p>
    <w:p w14:paraId="1A1406EC" w14:textId="77777777" w:rsidR="007F16AF" w:rsidRDefault="007F16AF" w:rsidP="007F16AF">
      <w:pPr>
        <w:pStyle w:val="S-Body"/>
        <w:rPr>
          <w:rFonts w:hint="eastAsia"/>
        </w:rPr>
      </w:pPr>
      <w:r w:rsidRPr="006009DE">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0D5A5CCF" w14:textId="77777777" w:rsidR="007F16AF" w:rsidRPr="007F16AF" w:rsidRDefault="007F16AF" w:rsidP="007F16AF">
      <w:pPr>
        <w:pStyle w:val="S-SubHeading"/>
        <w:rPr>
          <w:rFonts w:hint="eastAsia"/>
          <w:color w:val="FF0000"/>
        </w:rPr>
      </w:pPr>
      <w:r w:rsidRPr="007F16AF">
        <w:rPr>
          <w:color w:val="FF0000"/>
        </w:rPr>
        <w:t>Trademarks</w:t>
      </w:r>
    </w:p>
    <w:p w14:paraId="62F131E7" w14:textId="5E5C2ACE" w:rsidR="00AE0465" w:rsidRPr="009B6E2B" w:rsidRDefault="007F16AF" w:rsidP="009B6E2B">
      <w:pPr>
        <w:rPr>
          <w:rFonts w:ascii="Arial" w:eastAsiaTheme="majorEastAsia" w:hAnsi="Arial" w:cs="Arial"/>
          <w:color w:val="000000" w:themeColor="text1"/>
          <w:sz w:val="24"/>
          <w:szCs w:val="24"/>
        </w:rPr>
        <w:sectPr w:rsidR="00AE0465" w:rsidRPr="009B6E2B" w:rsidSect="00DA095A">
          <w:pgSz w:w="12240" w:h="15840"/>
          <w:pgMar w:top="1440" w:right="1440" w:bottom="1440" w:left="1440" w:header="5760" w:footer="3600" w:gutter="0"/>
          <w:cols w:space="720"/>
          <w:docGrid w:linePitch="360"/>
        </w:sectPr>
      </w:pPr>
      <w:r w:rsidRPr="007F16AF">
        <w:rPr>
          <w:rFonts w:ascii="Arial" w:hAnsi="Arial" w:cs="Arial"/>
          <w:sz w:val="24"/>
          <w:szCs w:val="24"/>
        </w:rPr>
        <w:t>Other product names mentioned in this document may be trademarks or registered trademarks of their respective companies and are hereby acknowledged.</w:t>
      </w:r>
      <w:r w:rsidR="00AE0465" w:rsidRPr="007F16AF">
        <w:rPr>
          <w:rFonts w:ascii="Arial" w:hAnsi="Arial" w:cs="Arial"/>
          <w:bCs/>
          <w:sz w:val="24"/>
          <w:szCs w:val="24"/>
        </w:rPr>
        <w:br w:type="page"/>
      </w:r>
    </w:p>
    <w:p w14:paraId="23AA179B" w14:textId="0CBD89CD" w:rsidR="00AE0465" w:rsidRPr="004B15CB" w:rsidRDefault="00AE0465" w:rsidP="00C60407">
      <w:pPr>
        <w:pStyle w:val="S-Body"/>
        <w:rPr>
          <w:rFonts w:hint="eastAsia"/>
        </w:rPr>
      </w:pPr>
    </w:p>
    <w:p w14:paraId="4F58627C" w14:textId="09887CF7" w:rsidR="00AE0465" w:rsidRPr="00C60407" w:rsidRDefault="00AE0465" w:rsidP="00C60407">
      <w:pPr>
        <w:pStyle w:val="S-Heading"/>
      </w:pPr>
      <w:bookmarkStart w:id="0" w:name="_Toc384992278"/>
      <w:bookmarkStart w:id="1" w:name="_Toc23349323"/>
      <w:r w:rsidRPr="00C60407">
        <w:t>Document Control</w:t>
      </w:r>
      <w:bookmarkEnd w:id="0"/>
      <w:bookmarkEnd w:id="1"/>
    </w:p>
    <w:p w14:paraId="0CC70C56" w14:textId="1531D351" w:rsidR="00AE0465" w:rsidRPr="000D6161" w:rsidRDefault="00017B53" w:rsidP="00C60407">
      <w:pPr>
        <w:pStyle w:val="S-Body"/>
        <w:rPr>
          <w:rFonts w:hint="eastAsia"/>
        </w:rPr>
      </w:pPr>
      <w:r w:rsidRPr="000D6161">
        <w:t>The electronic version of this document is recognized as the only valid version.</w:t>
      </w:r>
    </w:p>
    <w:p w14:paraId="6328AA8D" w14:textId="77777777" w:rsidR="00AE0465" w:rsidRPr="00AE0465" w:rsidRDefault="00AE0465" w:rsidP="00C60407">
      <w:pPr>
        <w:pStyle w:val="S-Body"/>
        <w:rPr>
          <w:rFonts w:hint="eastAsia"/>
        </w:rPr>
      </w:pPr>
    </w:p>
    <w:p w14:paraId="5E7F4361" w14:textId="77777777" w:rsidR="00C60407" w:rsidRPr="00AE0465" w:rsidRDefault="00C60407" w:rsidP="00C60407"/>
    <w:p w14:paraId="5348BDAC" w14:textId="77777777" w:rsidR="00C60407" w:rsidRDefault="00C60407" w:rsidP="00C60407">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C60407" w14:paraId="4C3AA6BD" w14:textId="77777777" w:rsidTr="00A24E47">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8A15CBB" w14:textId="77777777" w:rsidR="00C60407" w:rsidRDefault="00C6040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16F4554" w14:textId="77777777" w:rsidR="00C60407" w:rsidRDefault="00C6040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34C387B9" w14:textId="77777777" w:rsidR="00C60407" w:rsidRDefault="00C60407" w:rsidP="00306DF9">
            <w:pPr>
              <w:pStyle w:val="S-Table-Heading"/>
              <w:rPr>
                <w:rFonts w:hint="eastAsia"/>
              </w:rPr>
            </w:pPr>
            <w:r>
              <w:t>APPROVED DATE</w:t>
            </w:r>
          </w:p>
        </w:tc>
      </w:tr>
      <w:tr w:rsidR="009B6E2B" w14:paraId="4206E4AD" w14:textId="77777777" w:rsidTr="00A24E4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4160B62" w14:textId="7551791D" w:rsidR="009B6E2B" w:rsidRDefault="009B6E2B" w:rsidP="009B6E2B">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BF8718" w14:textId="51A03A55" w:rsidR="009B6E2B" w:rsidRDefault="009B6E2B" w:rsidP="009B6E2B">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AAE768D" w14:textId="0AEA9ED5" w:rsidR="009B6E2B" w:rsidRDefault="009B6E2B" w:rsidP="009B6E2B">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9B6E2B" w14:paraId="5A27CCCC" w14:textId="77777777" w:rsidTr="00A24E4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11B7509" w14:textId="77777777" w:rsidR="009B6E2B" w:rsidRDefault="009B6E2B" w:rsidP="009B6E2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657B9E" w14:textId="77777777" w:rsidR="009B6E2B" w:rsidRDefault="009B6E2B" w:rsidP="009B6E2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144095B" w14:textId="1775ECFB" w:rsidR="009B6E2B" w:rsidRDefault="009B6E2B" w:rsidP="009B6E2B">
            <w:pPr>
              <w:pStyle w:val="S-Table-Cells"/>
              <w:rPr>
                <w:rFonts w:hint="eastAsia"/>
              </w:rPr>
            </w:pPr>
            <w:r>
              <w:t>December 7</w:t>
            </w:r>
            <w:r w:rsidRPr="00FF52E1">
              <w:rPr>
                <w:vertAlign w:val="superscript"/>
              </w:rPr>
              <w:t>th</w:t>
            </w:r>
            <w:r>
              <w:t>, 2020</w:t>
            </w:r>
          </w:p>
        </w:tc>
      </w:tr>
      <w:tr w:rsidR="009B6E2B" w14:paraId="284540DE" w14:textId="77777777" w:rsidTr="00A24E4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2D5904C" w14:textId="77777777" w:rsidR="009B6E2B" w:rsidRDefault="009B6E2B" w:rsidP="009B6E2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60D856E" w14:textId="77777777" w:rsidR="009B6E2B" w:rsidRDefault="009B6E2B" w:rsidP="009B6E2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FC4B44A" w14:textId="77777777" w:rsidR="009B6E2B" w:rsidRDefault="009B6E2B" w:rsidP="009B6E2B">
            <w:pPr>
              <w:pStyle w:val="S-Table-Cells"/>
              <w:rPr>
                <w:rFonts w:hint="eastAsia"/>
              </w:rPr>
            </w:pPr>
            <w:r>
              <w:t>December 19</w:t>
            </w:r>
            <w:r w:rsidRPr="00FF52E1">
              <w:rPr>
                <w:vertAlign w:val="superscript"/>
              </w:rPr>
              <w:t>th</w:t>
            </w:r>
            <w:r>
              <w:t>, 2019</w:t>
            </w:r>
          </w:p>
        </w:tc>
      </w:tr>
      <w:tr w:rsidR="009B6E2B" w14:paraId="02EA05F8" w14:textId="77777777" w:rsidTr="00A24E47">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3E8A386" w14:textId="77777777" w:rsidR="009B6E2B" w:rsidRDefault="009B6E2B" w:rsidP="009B6E2B"/>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ED6175B" w14:textId="77777777" w:rsidR="009B6E2B" w:rsidRDefault="009B6E2B" w:rsidP="009B6E2B"/>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64AE96F" w14:textId="77777777" w:rsidR="009B6E2B" w:rsidRDefault="009B6E2B" w:rsidP="009B6E2B"/>
        </w:tc>
      </w:tr>
      <w:tr w:rsidR="009B6E2B" w14:paraId="7C725D56" w14:textId="77777777" w:rsidTr="00A24E47">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6F3A8DF" w14:textId="77777777" w:rsidR="009B6E2B" w:rsidRDefault="009B6E2B" w:rsidP="009B6E2B"/>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2CA2728B" w14:textId="77777777" w:rsidR="009B6E2B" w:rsidRDefault="009B6E2B" w:rsidP="009B6E2B"/>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6F110ED1" w14:textId="77777777" w:rsidR="009B6E2B" w:rsidRDefault="009B6E2B" w:rsidP="009B6E2B"/>
        </w:tc>
      </w:tr>
    </w:tbl>
    <w:p w14:paraId="577BA4C1" w14:textId="77777777" w:rsidR="00AE0465" w:rsidRPr="00C60407" w:rsidRDefault="00AE0465" w:rsidP="00C60407">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C60407">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C60407">
      <w:pPr>
        <w:pStyle w:val="S-Body"/>
        <w:rPr>
          <w:rFonts w:ascii="Arial" w:hAnsi="Arial" w:cs="Arial"/>
          <w:sz w:val="17"/>
          <w:szCs w:val="17"/>
        </w:rPr>
        <w:sectPr w:rsidR="00AE0465" w:rsidRPr="000D6161" w:rsidSect="00CC5C56">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5A054A" w:rsidRDefault="00AE0465" w:rsidP="00C60407">
      <w:pPr>
        <w:pStyle w:val="S-Heading"/>
        <w:rPr>
          <w:color w:val="FF0000"/>
          <w:sz w:val="32"/>
          <w:szCs w:val="32"/>
        </w:rPr>
      </w:pPr>
      <w:bookmarkStart w:id="4" w:name="_Toc23349324"/>
      <w:r w:rsidRPr="005A054A">
        <w:rPr>
          <w:color w:val="FF0000"/>
          <w:sz w:val="32"/>
          <w:szCs w:val="32"/>
        </w:rPr>
        <w:lastRenderedPageBreak/>
        <w:t>Introduction</w:t>
      </w:r>
      <w:bookmarkEnd w:id="4"/>
    </w:p>
    <w:p w14:paraId="2BD524AA" w14:textId="77777777" w:rsidR="00017B53" w:rsidRPr="000D6161" w:rsidRDefault="00017B53" w:rsidP="00C60407">
      <w:pPr>
        <w:pStyle w:val="S-SubHeading"/>
        <w:rPr>
          <w:rFonts w:hint="eastAsia"/>
        </w:rPr>
      </w:pPr>
      <w:r w:rsidRPr="000D6161">
        <w:t>Overview</w:t>
      </w:r>
    </w:p>
    <w:p w14:paraId="6A00EFFB" w14:textId="350A4D33" w:rsidR="00AE0465" w:rsidRDefault="000107C2" w:rsidP="00CC5C56">
      <w:pPr>
        <w:pStyle w:val="S-Body"/>
        <w:rPr>
          <w:rFonts w:eastAsia="Calibri" w:cs="Arial"/>
          <w:szCs w:val="20"/>
        </w:rPr>
      </w:pPr>
      <w:r w:rsidRPr="000107C2">
        <w:t xml:space="preserve">Information Security threat and risk assessments form a part of the risk management process to ensure responsible management and security of information and information resources. Information security threat and risk assessments are conducted to evaluate the security threats and risks to information, programs, systems, </w:t>
      </w:r>
      <w:proofErr w:type="gramStart"/>
      <w:r w:rsidRPr="000107C2">
        <w:t>services</w:t>
      </w:r>
      <w:proofErr w:type="gramEnd"/>
      <w:r w:rsidRPr="000107C2">
        <w:t xml:space="preserve"> and physical spaces. Risk management is the process of identifying vulnerabilities and threats to the information resources used by an organization in achieving business objectives and deciding what counter measures (safeguards and controls), if any, to take in reducing risk to an acceptable level (i.e., residual risk), based on the value of the information resource to the organization.</w:t>
      </w:r>
    </w:p>
    <w:p w14:paraId="194FAD65" w14:textId="77777777" w:rsidR="000D6161" w:rsidRPr="005A054A" w:rsidRDefault="000D6161" w:rsidP="00AE0465">
      <w:pPr>
        <w:spacing w:after="0"/>
        <w:ind w:left="720"/>
        <w:rPr>
          <w:rFonts w:eastAsia="Calibri" w:cs="Arial"/>
          <w:color w:val="FF0000"/>
          <w:sz w:val="32"/>
          <w:szCs w:val="32"/>
        </w:rPr>
      </w:pPr>
    </w:p>
    <w:p w14:paraId="35B5F691" w14:textId="77777777" w:rsidR="00AE0465" w:rsidRPr="005A054A" w:rsidRDefault="00AE0465" w:rsidP="00C60407">
      <w:pPr>
        <w:pStyle w:val="S-Heading"/>
        <w:rPr>
          <w:color w:val="FF0000"/>
          <w:sz w:val="32"/>
          <w:szCs w:val="32"/>
        </w:rPr>
      </w:pPr>
      <w:bookmarkStart w:id="5" w:name="_Toc23349325"/>
      <w:r w:rsidRPr="005A054A">
        <w:rPr>
          <w:color w:val="FF0000"/>
          <w:sz w:val="32"/>
          <w:szCs w:val="32"/>
        </w:rPr>
        <w:t>Purpose</w:t>
      </w:r>
      <w:bookmarkEnd w:id="5"/>
    </w:p>
    <w:p w14:paraId="42C6E10D" w14:textId="730E5B96" w:rsidR="00017B53" w:rsidRDefault="000107C2" w:rsidP="00C60407">
      <w:pPr>
        <w:pStyle w:val="S-Body"/>
        <w:rPr>
          <w:rFonts w:hint="eastAsia"/>
        </w:rPr>
      </w:pPr>
      <w:r w:rsidRPr="000107C2">
        <w:t xml:space="preserve">The purpose of the Risk Assessment Policy is to empower </w:t>
      </w:r>
      <w:r w:rsidR="003F721F" w:rsidRPr="003F721F">
        <w:t xml:space="preserve">Signifi </w:t>
      </w:r>
      <w:r w:rsidRPr="000107C2">
        <w:t>Information Security team to perform periodic information security threat and risk assessments, including vulnerability assessments and penetration tests on corporate computer systems for the purpose of determining areas of vulnerability, and to initiate appropriate remediation.</w:t>
      </w:r>
    </w:p>
    <w:p w14:paraId="25E93483" w14:textId="77777777" w:rsidR="00AE0465" w:rsidRPr="005A054A" w:rsidRDefault="00AE0465" w:rsidP="00C60407">
      <w:pPr>
        <w:pStyle w:val="S-Heading"/>
        <w:rPr>
          <w:color w:val="FF0000"/>
          <w:sz w:val="32"/>
          <w:szCs w:val="32"/>
        </w:rPr>
      </w:pPr>
      <w:bookmarkStart w:id="6" w:name="_Toc23349326"/>
      <w:r w:rsidRPr="005A054A">
        <w:rPr>
          <w:color w:val="FF0000"/>
          <w:sz w:val="32"/>
          <w:szCs w:val="32"/>
        </w:rPr>
        <w:t>Audience</w:t>
      </w:r>
      <w:bookmarkEnd w:id="6"/>
    </w:p>
    <w:p w14:paraId="68F8E5D5" w14:textId="00FE9859" w:rsidR="00017B53" w:rsidRDefault="00017B53" w:rsidP="00C60407">
      <w:pPr>
        <w:pStyle w:val="S-Body"/>
        <w:rPr>
          <w:rFonts w:hint="eastAsia"/>
        </w:rPr>
      </w:pPr>
      <w:r>
        <w:t xml:space="preserve">This policy applies to all </w:t>
      </w:r>
      <w:r w:rsidR="003F721F" w:rsidRPr="003F721F">
        <w:t xml:space="preserve">Signifi </w:t>
      </w:r>
      <w:r w:rsidR="003F721F">
        <w:t xml:space="preserve">employees, </w:t>
      </w:r>
      <w:r>
        <w:t xml:space="preserve">associates, part-time and temporary workers, trainees, </w:t>
      </w:r>
      <w:r w:rsidR="005A054A">
        <w:t>contractors</w:t>
      </w:r>
      <w:r w:rsidR="005A054A">
        <w:rPr>
          <w:rFonts w:hint="eastAsia"/>
        </w:rPr>
        <w:t>,</w:t>
      </w:r>
      <w:r>
        <w:t xml:space="preserve"> and vendors.</w:t>
      </w:r>
    </w:p>
    <w:p w14:paraId="63C23E35" w14:textId="02C666D8" w:rsidR="00C62AE5" w:rsidRDefault="00C62AE5" w:rsidP="00AE0465">
      <w:pPr>
        <w:keepLines/>
      </w:pPr>
    </w:p>
    <w:p w14:paraId="1064300F" w14:textId="6E945CC8" w:rsidR="000D6161" w:rsidRDefault="000D6161" w:rsidP="00AE0465">
      <w:pPr>
        <w:keepLines/>
      </w:pPr>
    </w:p>
    <w:p w14:paraId="4CB85160" w14:textId="5616BF4B" w:rsidR="000D6161" w:rsidRDefault="000D6161" w:rsidP="00AE0465">
      <w:pPr>
        <w:keepLines/>
      </w:pPr>
    </w:p>
    <w:p w14:paraId="16C1FEA0" w14:textId="77777777" w:rsidR="00C60407" w:rsidRDefault="00C60407">
      <w:pPr>
        <w:spacing w:after="160" w:line="259" w:lineRule="auto"/>
        <w:rPr>
          <w:rFonts w:ascii="Helvetica Neue" w:eastAsia="Helvetica Neue" w:hAnsi="Helvetica Neue" w:cs="Helvetica Neue"/>
          <w:color w:val="E33D53"/>
          <w:sz w:val="42"/>
          <w:szCs w:val="42"/>
          <w:u w:color="FFFFFF"/>
          <w:bdr w:val="nil"/>
          <w:lang w:val="en-CA" w:eastAsia="en-CA"/>
        </w:rPr>
      </w:pPr>
      <w:bookmarkStart w:id="7" w:name="_Toc23349327"/>
      <w:r>
        <w:br w:type="page"/>
      </w:r>
    </w:p>
    <w:p w14:paraId="080854DD" w14:textId="7BA57D39" w:rsidR="00AE0465" w:rsidRPr="005A054A" w:rsidRDefault="00AE0465" w:rsidP="00C60407">
      <w:pPr>
        <w:pStyle w:val="S-Heading"/>
        <w:rPr>
          <w:color w:val="FF0000"/>
          <w:sz w:val="32"/>
          <w:szCs w:val="32"/>
        </w:rPr>
      </w:pPr>
      <w:r w:rsidRPr="005A054A">
        <w:rPr>
          <w:color w:val="FF0000"/>
          <w:sz w:val="32"/>
          <w:szCs w:val="32"/>
        </w:rPr>
        <w:lastRenderedPageBreak/>
        <w:t>Scope</w:t>
      </w:r>
      <w:bookmarkEnd w:id="7"/>
    </w:p>
    <w:p w14:paraId="4F8429D4" w14:textId="6FBBE758" w:rsidR="000D6161" w:rsidRPr="000D6161" w:rsidRDefault="000107C2" w:rsidP="00C60407">
      <w:pPr>
        <w:pStyle w:val="S-Body"/>
        <w:rPr>
          <w:rFonts w:hint="eastAsia"/>
        </w:rPr>
      </w:pPr>
      <w:r w:rsidRPr="000107C2">
        <w:t xml:space="preserve">This policy applies to all users which include but not limited to associates, contractors, part-time and temporary workers, trainees, service providers, and those employed by others to perform work at hosted or outsourced sites, or who have been granted access to </w:t>
      </w:r>
      <w:r w:rsidR="003F721F" w:rsidRPr="003F721F">
        <w:t xml:space="preserve">Signifi </w:t>
      </w:r>
      <w:r w:rsidRPr="000107C2">
        <w:t xml:space="preserve">information or systems. This policy applies to all </w:t>
      </w:r>
      <w:r w:rsidR="003F721F" w:rsidRPr="003F721F">
        <w:t xml:space="preserve">Signifi </w:t>
      </w:r>
      <w:r w:rsidRPr="000107C2">
        <w:t xml:space="preserve">resources owned, leased, or supported by </w:t>
      </w:r>
      <w:r w:rsidR="009F256B">
        <w:t>Signifi</w:t>
      </w:r>
      <w:r w:rsidRPr="000107C2">
        <w:t xml:space="preserve">, or any outside entity that has signed a Vendor Access Agreement with </w:t>
      </w:r>
      <w:r w:rsidR="009F256B">
        <w:t>Signifi</w:t>
      </w:r>
      <w:r w:rsidRPr="000107C2">
        <w:t>.</w:t>
      </w:r>
    </w:p>
    <w:p w14:paraId="42AC6186" w14:textId="77777777" w:rsidR="00AE0465" w:rsidRPr="005A054A" w:rsidRDefault="00AE0465" w:rsidP="00AE0465">
      <w:pPr>
        <w:spacing w:after="0"/>
        <w:rPr>
          <w:rFonts w:eastAsia="Calibri" w:cs="Arial"/>
          <w:color w:val="FF0000"/>
          <w:sz w:val="32"/>
          <w:szCs w:val="32"/>
        </w:rPr>
      </w:pPr>
    </w:p>
    <w:p w14:paraId="225EB08A" w14:textId="77777777" w:rsidR="00AE0465" w:rsidRPr="005A054A" w:rsidRDefault="00AE0465" w:rsidP="00C60407">
      <w:pPr>
        <w:pStyle w:val="S-Heading"/>
        <w:rPr>
          <w:color w:val="FF0000"/>
          <w:sz w:val="32"/>
          <w:szCs w:val="32"/>
        </w:rPr>
      </w:pPr>
      <w:bookmarkStart w:id="8" w:name="_Toc510450537"/>
      <w:bookmarkStart w:id="9" w:name="_Toc23349328"/>
      <w:r w:rsidRPr="005A054A">
        <w:rPr>
          <w:color w:val="FF0000"/>
          <w:sz w:val="32"/>
          <w:szCs w:val="32"/>
        </w:rPr>
        <w:t>Policy Statement</w:t>
      </w:r>
      <w:bookmarkEnd w:id="8"/>
      <w:bookmarkEnd w:id="9"/>
    </w:p>
    <w:p w14:paraId="339648D9" w14:textId="585AE8DA" w:rsidR="00CC5C56" w:rsidRPr="005A054A" w:rsidRDefault="000107C2" w:rsidP="001D5C39">
      <w:pPr>
        <w:pStyle w:val="S-SubHeading"/>
        <w:numPr>
          <w:ilvl w:val="0"/>
          <w:numId w:val="25"/>
        </w:numPr>
        <w:rPr>
          <w:rFonts w:hint="eastAsia"/>
          <w:color w:val="FF0000"/>
        </w:rPr>
      </w:pPr>
      <w:r w:rsidRPr="005A054A">
        <w:rPr>
          <w:color w:val="FF0000"/>
          <w:lang w:val="en-CA"/>
        </w:rPr>
        <w:t>Risk Assessment</w:t>
      </w:r>
    </w:p>
    <w:p w14:paraId="788333AD" w14:textId="32A3E8AF" w:rsidR="00CC5C56" w:rsidRPr="001D5C39" w:rsidRDefault="00CC5C56" w:rsidP="00CC5C56">
      <w:pPr>
        <w:pStyle w:val="S-Body"/>
        <w:ind w:left="360"/>
        <w:rPr>
          <w:rFonts w:hint="eastAsia"/>
          <w:lang w:val="en-US"/>
        </w:rPr>
      </w:pPr>
      <w:r>
        <w:br/>
      </w:r>
      <w:r w:rsidRPr="00CC5C56">
        <w:rPr>
          <w:b/>
          <w:bCs/>
        </w:rPr>
        <w:t>Annual Risk Assessment</w:t>
      </w:r>
    </w:p>
    <w:p w14:paraId="2DF4ECAD" w14:textId="3FF9F8DE" w:rsidR="001D5C39" w:rsidRDefault="001D5C39" w:rsidP="00815866">
      <w:pPr>
        <w:pStyle w:val="S-Body"/>
        <w:numPr>
          <w:ilvl w:val="1"/>
          <w:numId w:val="25"/>
        </w:numPr>
        <w:rPr>
          <w:rFonts w:hint="eastAsia"/>
        </w:rPr>
      </w:pPr>
      <w:r w:rsidRPr="00C60407">
        <w:t xml:space="preserve">Information Security must ensure a formalized risk assessment based upon the methodologies outlined in “ISO 27005 – Information Risk Security Risk Management” or “National Institute of Science &amp; Technology publication 800-30 – Risk Management Guide for Information Technology Systems” is performed on annual basis </w:t>
      </w:r>
      <w:proofErr w:type="gramStart"/>
      <w:r w:rsidRPr="00C60407">
        <w:t>in order to</w:t>
      </w:r>
      <w:proofErr w:type="gramEnd"/>
      <w:r w:rsidRPr="00C60407">
        <w:t xml:space="preserve"> identify possible threats and vulnerabilities to security of Signifi information systems and assets that may contain Highly Confidential and Confidential information. The risk assessments must also be performed following any major changes to the environment. </w:t>
      </w:r>
    </w:p>
    <w:p w14:paraId="0635861C" w14:textId="77777777" w:rsidR="001D5C39" w:rsidRPr="00CC5C56" w:rsidRDefault="001D5C39" w:rsidP="001D5C39">
      <w:pPr>
        <w:pStyle w:val="S-Body"/>
        <w:ind w:firstLine="360"/>
        <w:rPr>
          <w:rFonts w:hint="eastAsia"/>
          <w:b/>
          <w:bCs/>
        </w:rPr>
      </w:pPr>
      <w:r w:rsidRPr="00CC5C56">
        <w:rPr>
          <w:b/>
          <w:bCs/>
        </w:rPr>
        <w:t>Review and update of Information Security Policy:</w:t>
      </w:r>
    </w:p>
    <w:p w14:paraId="2749DBF0" w14:textId="3833E6E2" w:rsidR="001D5C39" w:rsidRDefault="00DF0927" w:rsidP="001D5C39">
      <w:pPr>
        <w:pStyle w:val="S-Body"/>
        <w:ind w:left="360"/>
        <w:rPr>
          <w:rFonts w:hint="eastAsia"/>
        </w:rPr>
      </w:pPr>
      <w:r>
        <w:t>F</w:t>
      </w:r>
      <w:r w:rsidR="001D5C39">
        <w:t>ollowing the execution of a risk assessment, Information Security shall provide a report to the Executive Management Team to consider and to address or mitigate any risks identified.</w:t>
      </w:r>
    </w:p>
    <w:p w14:paraId="10F62654" w14:textId="4BFC434B" w:rsidR="001D5C39" w:rsidRPr="00CC5C56" w:rsidRDefault="001D5C39" w:rsidP="001D5C39">
      <w:pPr>
        <w:pStyle w:val="S-Body"/>
        <w:ind w:firstLine="360"/>
        <w:rPr>
          <w:rFonts w:hint="eastAsia"/>
          <w:b/>
          <w:bCs/>
        </w:rPr>
      </w:pPr>
      <w:r w:rsidRPr="00CC5C56">
        <w:rPr>
          <w:b/>
          <w:bCs/>
        </w:rPr>
        <w:t>Risk versus Cost Benefit Analysis</w:t>
      </w:r>
    </w:p>
    <w:p w14:paraId="25A39A25" w14:textId="77777777" w:rsidR="001D5C39" w:rsidRDefault="001D5C39" w:rsidP="001D5C39">
      <w:pPr>
        <w:pStyle w:val="S-Body"/>
        <w:numPr>
          <w:ilvl w:val="1"/>
          <w:numId w:val="25"/>
        </w:numPr>
        <w:rPr>
          <w:rFonts w:hint="eastAsia"/>
        </w:rPr>
      </w:pPr>
      <w:r w:rsidRPr="001D5C39">
        <w:t xml:space="preserve">The assessment of counter measures must be performed through a cost-benefit analysis where controls to mitigate risks are selected to reduce to a </w:t>
      </w:r>
      <w:r w:rsidRPr="001D5C39">
        <w:lastRenderedPageBreak/>
        <w:t>level acceptable to management. This analysis may be based on any of the following:</w:t>
      </w:r>
    </w:p>
    <w:p w14:paraId="2A0E5C23" w14:textId="77777777" w:rsidR="001D5C39" w:rsidRDefault="001D5C39" w:rsidP="001D5C39">
      <w:pPr>
        <w:pStyle w:val="S-Body"/>
        <w:numPr>
          <w:ilvl w:val="1"/>
          <w:numId w:val="27"/>
        </w:numPr>
        <w:rPr>
          <w:rFonts w:hint="eastAsia"/>
        </w:rPr>
      </w:pPr>
      <w:r>
        <w:t>The cost of the control compared to the benefit of minimizing the risk.</w:t>
      </w:r>
    </w:p>
    <w:p w14:paraId="1745FC8D" w14:textId="6F76BF33" w:rsidR="001D5C39" w:rsidRDefault="001D5C39" w:rsidP="00C532CE">
      <w:pPr>
        <w:pStyle w:val="S-Body"/>
        <w:numPr>
          <w:ilvl w:val="1"/>
          <w:numId w:val="27"/>
        </w:numPr>
        <w:rPr>
          <w:rFonts w:hint="eastAsia"/>
        </w:rPr>
      </w:pPr>
      <w:r>
        <w:t xml:space="preserve">Management’s appetite for </w:t>
      </w:r>
      <w:r w:rsidR="005B6768">
        <w:t xml:space="preserve">risk </w:t>
      </w:r>
      <w:r>
        <w:t>(i.e., the level of residual risk that the management is prepared to accept</w:t>
      </w:r>
      <w:r w:rsidR="005B6768">
        <w:t>)</w:t>
      </w:r>
      <w:r>
        <w:t>.</w:t>
      </w:r>
      <w:r w:rsidR="00CC5C56">
        <w:br/>
      </w:r>
    </w:p>
    <w:p w14:paraId="3AD1400A" w14:textId="6FC84C03" w:rsidR="001D5C39" w:rsidRPr="001D5C39" w:rsidRDefault="001D5C39" w:rsidP="001D5C39">
      <w:pPr>
        <w:pStyle w:val="S-SubHeading"/>
        <w:numPr>
          <w:ilvl w:val="0"/>
          <w:numId w:val="25"/>
        </w:numPr>
        <w:rPr>
          <w:rFonts w:hint="eastAsia"/>
        </w:rPr>
      </w:pPr>
      <w:r w:rsidRPr="001D5C39">
        <w:rPr>
          <w:lang w:val="en-CA"/>
        </w:rPr>
        <w:t>Vulnerability Management</w:t>
      </w:r>
    </w:p>
    <w:p w14:paraId="7218F8A9" w14:textId="34B2E2BA" w:rsidR="001D5C39" w:rsidRPr="001D5C39" w:rsidRDefault="001D5C39" w:rsidP="00CC5C56">
      <w:pPr>
        <w:pStyle w:val="S-Body"/>
        <w:ind w:firstLine="360"/>
        <w:rPr>
          <w:rFonts w:hint="eastAsia"/>
          <w:b/>
          <w:bCs/>
          <w:lang w:val="en-US"/>
        </w:rPr>
      </w:pPr>
      <w:r w:rsidRPr="001D5C39">
        <w:rPr>
          <w:b/>
          <w:bCs/>
        </w:rPr>
        <w:t>Quarterly Internal Network Vulnerability Scanning</w:t>
      </w:r>
    </w:p>
    <w:p w14:paraId="0BB2AF9C" w14:textId="77777777" w:rsidR="001D5C39" w:rsidRDefault="001D5C39" w:rsidP="001D5C39">
      <w:pPr>
        <w:pStyle w:val="S-Body"/>
        <w:numPr>
          <w:ilvl w:val="1"/>
          <w:numId w:val="25"/>
        </w:numPr>
        <w:rPr>
          <w:rFonts w:hint="eastAsia"/>
        </w:rPr>
      </w:pPr>
      <w:r>
        <w:t>Vulnerability scans are performed by a qualified internal resource (</w:t>
      </w:r>
      <w:proofErr w:type="gramStart"/>
      <w:r>
        <w:t>e.g.</w:t>
      </w:r>
      <w:proofErr w:type="gramEnd"/>
      <w:r>
        <w:t xml:space="preserve"> an individual possessing formal training and appropriate information security related designation such as a CISSP). For internal vulnerability scanning, IT may instead choose to use an Approved Scanning Vendor that appears on the PCI Security Steering Committee website, or a qualified information security </w:t>
      </w:r>
      <w:proofErr w:type="gramStart"/>
      <w:r>
        <w:t>services</w:t>
      </w:r>
      <w:proofErr w:type="gramEnd"/>
      <w:r>
        <w:t xml:space="preserve"> organization;</w:t>
      </w:r>
    </w:p>
    <w:p w14:paraId="6107BAA1" w14:textId="77777777" w:rsidR="001D5C39" w:rsidRDefault="001D5C39" w:rsidP="001D5C39">
      <w:pPr>
        <w:pStyle w:val="S-Body"/>
        <w:numPr>
          <w:ilvl w:val="1"/>
          <w:numId w:val="25"/>
        </w:numPr>
        <w:rPr>
          <w:rFonts w:hint="eastAsia"/>
        </w:rPr>
      </w:pPr>
      <w:r>
        <w:t>IDS/IPS technologies are configured to allow vulnerability scanners to successfully scan system components (</w:t>
      </w:r>
      <w:proofErr w:type="gramStart"/>
      <w:r>
        <w:t>e.g.</w:t>
      </w:r>
      <w:proofErr w:type="gramEnd"/>
      <w:r>
        <w:t xml:space="preserve"> adding appropriate exception rules to IDS/IPS configurations);</w:t>
      </w:r>
    </w:p>
    <w:p w14:paraId="008F8CDB" w14:textId="77777777" w:rsidR="001D5C39" w:rsidRDefault="001D5C39" w:rsidP="001D5C39">
      <w:pPr>
        <w:pStyle w:val="S-Body"/>
        <w:numPr>
          <w:ilvl w:val="1"/>
          <w:numId w:val="25"/>
        </w:numPr>
        <w:rPr>
          <w:rFonts w:hint="eastAsia"/>
        </w:rPr>
      </w:pPr>
      <w:r>
        <w:t>Vulnerability scans are configured to make reasonable attempts at identifying live systems (</w:t>
      </w:r>
      <w:proofErr w:type="gramStart"/>
      <w:r>
        <w:t>e.g.</w:t>
      </w:r>
      <w:proofErr w:type="gramEnd"/>
      <w:r>
        <w:t xml:space="preserve"> using methods other than ICMP ping to identify ‘live’ hosts);</w:t>
      </w:r>
    </w:p>
    <w:p w14:paraId="1E1B6349" w14:textId="5636BD6C" w:rsidR="001D5C39" w:rsidRDefault="001D5C39" w:rsidP="001D5C39">
      <w:pPr>
        <w:pStyle w:val="S-Body"/>
        <w:numPr>
          <w:ilvl w:val="1"/>
          <w:numId w:val="25"/>
        </w:numPr>
        <w:rPr>
          <w:rFonts w:hint="eastAsia"/>
        </w:rPr>
      </w:pPr>
      <w:r>
        <w:t xml:space="preserve">Vulnerability scans are configured to scan all Transmission Control Protocol and User Datagram Protocol </w:t>
      </w:r>
      <w:r w:rsidR="005A054A">
        <w:t>ports.</w:t>
      </w:r>
    </w:p>
    <w:p w14:paraId="1BBCA411" w14:textId="77777777" w:rsidR="001D5C39" w:rsidRDefault="001D5C39" w:rsidP="001D5C39">
      <w:pPr>
        <w:pStyle w:val="S-Body"/>
        <w:numPr>
          <w:ilvl w:val="1"/>
          <w:numId w:val="25"/>
        </w:numPr>
        <w:rPr>
          <w:rFonts w:hint="eastAsia"/>
        </w:rPr>
      </w:pPr>
      <w:r>
        <w:t>Vulnerability scans are configured to perform OS and Service fingerprinting; and</w:t>
      </w:r>
    </w:p>
    <w:p w14:paraId="2EEED62A" w14:textId="77777777" w:rsidR="001D5C39" w:rsidRDefault="001D5C39" w:rsidP="001D5C39">
      <w:pPr>
        <w:pStyle w:val="S-Body"/>
        <w:numPr>
          <w:ilvl w:val="1"/>
          <w:numId w:val="25"/>
        </w:numPr>
        <w:rPr>
          <w:rFonts w:hint="eastAsia"/>
        </w:rPr>
      </w:pPr>
      <w:r>
        <w:t>Vulnerability scans are configured to account for any load balancers that may be implemented.</w:t>
      </w:r>
    </w:p>
    <w:p w14:paraId="2418993B" w14:textId="770E6B43" w:rsidR="001D5C39" w:rsidRDefault="001D5C39" w:rsidP="001D5C39">
      <w:pPr>
        <w:pStyle w:val="S-Body"/>
        <w:numPr>
          <w:ilvl w:val="1"/>
          <w:numId w:val="25"/>
        </w:numPr>
        <w:rPr>
          <w:rFonts w:hint="eastAsia"/>
        </w:rPr>
      </w:pPr>
      <w:r>
        <w:t xml:space="preserve">The above vulnerability scans must also be executed against all PCI in-scope systems after any changes to the components (including changes of software, configurations, application/OS patching etc.). </w:t>
      </w:r>
    </w:p>
    <w:p w14:paraId="7F35E232" w14:textId="4357E0AC" w:rsidR="001D5C39" w:rsidRPr="001D5C39" w:rsidRDefault="001D5C39" w:rsidP="001D5C39">
      <w:pPr>
        <w:pStyle w:val="S-Body"/>
        <w:ind w:left="360"/>
        <w:rPr>
          <w:rFonts w:hint="eastAsia"/>
          <w:b/>
          <w:bCs/>
        </w:rPr>
      </w:pPr>
      <w:r w:rsidRPr="001D5C39">
        <w:rPr>
          <w:b/>
          <w:bCs/>
        </w:rPr>
        <w:lastRenderedPageBreak/>
        <w:t>Quarterly External Vulnerability Scan</w:t>
      </w:r>
    </w:p>
    <w:p w14:paraId="55C6EDB0" w14:textId="77777777" w:rsidR="001D5C39" w:rsidRDefault="001D5C39" w:rsidP="001D5C39">
      <w:pPr>
        <w:pStyle w:val="S-Body"/>
        <w:numPr>
          <w:ilvl w:val="1"/>
          <w:numId w:val="25"/>
        </w:numPr>
        <w:rPr>
          <w:rFonts w:hint="eastAsia"/>
        </w:rPr>
      </w:pPr>
      <w:r>
        <w:t>Information Security must ensure that a quarterly external vulnerability scan is performed by an Approved Scanning Vendor (ASV) that appears on the PCI Security Steering Committee website, against all public facing IP address spaces used by Signifi. This includes public facing interfaces for any remote offices that also have connectivity back to Signifi’s personal information data environment.</w:t>
      </w:r>
    </w:p>
    <w:p w14:paraId="1721CADC" w14:textId="4F2C5058" w:rsidR="001D5C39" w:rsidRDefault="001D5C39" w:rsidP="001D5C39">
      <w:pPr>
        <w:pStyle w:val="S-Body"/>
        <w:numPr>
          <w:ilvl w:val="1"/>
          <w:numId w:val="25"/>
        </w:numPr>
        <w:rPr>
          <w:rFonts w:hint="eastAsia"/>
        </w:rPr>
      </w:pPr>
      <w:r>
        <w:t>The above vulnerability scans must also be executed against in-scope systems after any changes to the components (including changes of software, configurations, application/OS patching etc.). External scans performed after changes may be performed by qualified internal resources if desired and covered by the ASV during the next quarterly external scan.</w:t>
      </w:r>
    </w:p>
    <w:p w14:paraId="721311B6" w14:textId="0B60A1A1" w:rsidR="002428F4" w:rsidRPr="002428F4" w:rsidRDefault="002428F4" w:rsidP="002428F4">
      <w:pPr>
        <w:pStyle w:val="S-Body"/>
        <w:ind w:left="360"/>
        <w:rPr>
          <w:rFonts w:hint="eastAsia"/>
          <w:b/>
          <w:bCs/>
        </w:rPr>
      </w:pPr>
      <w:r w:rsidRPr="002428F4">
        <w:rPr>
          <w:b/>
          <w:bCs/>
        </w:rPr>
        <w:t>Identification of newly discovered vulnerabilities</w:t>
      </w:r>
    </w:p>
    <w:p w14:paraId="2208AC09" w14:textId="77777777" w:rsidR="001D5C39" w:rsidRDefault="001D5C39" w:rsidP="002428F4">
      <w:pPr>
        <w:pStyle w:val="S-Body"/>
        <w:numPr>
          <w:ilvl w:val="1"/>
          <w:numId w:val="25"/>
        </w:numPr>
        <w:tabs>
          <w:tab w:val="left" w:pos="993"/>
        </w:tabs>
        <w:rPr>
          <w:rFonts w:hint="eastAsia"/>
        </w:rPr>
      </w:pPr>
      <w:r>
        <w:t>IT must establish a formalized process for identifying newly discovered vulnerabilities including but not limited to:</w:t>
      </w:r>
    </w:p>
    <w:p w14:paraId="41BC93C3" w14:textId="625B4A3A" w:rsidR="001D5C39" w:rsidRDefault="001D5C39" w:rsidP="002428F4">
      <w:pPr>
        <w:pStyle w:val="S-Body"/>
        <w:numPr>
          <w:ilvl w:val="1"/>
          <w:numId w:val="28"/>
        </w:numPr>
        <w:rPr>
          <w:rFonts w:hint="eastAsia"/>
        </w:rPr>
      </w:pPr>
      <w:r>
        <w:t xml:space="preserve">Subscribing to automated security notification feeds from operating system and application &amp; database server </w:t>
      </w:r>
      <w:r w:rsidR="005A054A">
        <w:t>vendors.</w:t>
      </w:r>
      <w:r>
        <w:t xml:space="preserve"> </w:t>
      </w:r>
    </w:p>
    <w:p w14:paraId="7A7D660B" w14:textId="77777777" w:rsidR="001D5C39" w:rsidRDefault="001D5C39" w:rsidP="002428F4">
      <w:pPr>
        <w:pStyle w:val="S-Body"/>
        <w:numPr>
          <w:ilvl w:val="1"/>
          <w:numId w:val="28"/>
        </w:numPr>
        <w:tabs>
          <w:tab w:val="left" w:pos="993"/>
        </w:tabs>
        <w:rPr>
          <w:rFonts w:hint="eastAsia"/>
        </w:rPr>
      </w:pPr>
      <w:r>
        <w:t>Subscribing to industry leading vulnerability disclosure databases (</w:t>
      </w:r>
      <w:proofErr w:type="gramStart"/>
      <w:r>
        <w:t>e.g.</w:t>
      </w:r>
      <w:proofErr w:type="gramEnd"/>
      <w:r>
        <w:t xml:space="preserve"> National Vulnerability Database, Qualys Vulnerability Database Notifications, Common Vulnerabilities and Exposures Database, etc.); and</w:t>
      </w:r>
    </w:p>
    <w:p w14:paraId="540076DF" w14:textId="3BB75CF5" w:rsidR="001D5C39" w:rsidRDefault="001D5C39" w:rsidP="002428F4">
      <w:pPr>
        <w:pStyle w:val="S-Body"/>
        <w:numPr>
          <w:ilvl w:val="1"/>
          <w:numId w:val="28"/>
        </w:numPr>
        <w:tabs>
          <w:tab w:val="left" w:pos="993"/>
        </w:tabs>
        <w:rPr>
          <w:rFonts w:hint="eastAsia"/>
        </w:rPr>
      </w:pPr>
      <w:r>
        <w:t>Conducting a risk assessment of newly discovered vulnerabilities and implementing remediation procedures in alignment with the Patch Management Policy.</w:t>
      </w:r>
    </w:p>
    <w:p w14:paraId="3FA6A1F0" w14:textId="77777777" w:rsidR="002428F4" w:rsidRDefault="002428F4" w:rsidP="002428F4">
      <w:pPr>
        <w:pStyle w:val="S-Body"/>
        <w:numPr>
          <w:ilvl w:val="1"/>
          <w:numId w:val="25"/>
        </w:numPr>
        <w:tabs>
          <w:tab w:val="left" w:pos="993"/>
        </w:tabs>
        <w:rPr>
          <w:rFonts w:hint="eastAsia"/>
        </w:rPr>
      </w:pPr>
      <w:r>
        <w:t>Risk ranking of newly discovered vulnerabilities – Information Security must establish a formalized process for risk ranking newly discovered vulnerabilities based upon the following guidance:</w:t>
      </w:r>
    </w:p>
    <w:p w14:paraId="5FE5E4E4" w14:textId="0E2E1F8F" w:rsidR="002428F4" w:rsidRDefault="002428F4" w:rsidP="00A26503">
      <w:pPr>
        <w:pStyle w:val="S-Body"/>
        <w:numPr>
          <w:ilvl w:val="1"/>
          <w:numId w:val="25"/>
        </w:numPr>
        <w:tabs>
          <w:tab w:val="left" w:pos="993"/>
        </w:tabs>
        <w:rPr>
          <w:rFonts w:hint="eastAsia"/>
        </w:rPr>
      </w:pPr>
      <w:r>
        <w:t>The Common Vulnerability Scoring System (CVSS 3.0) or a directly compatible alternative must be used with severity scores categorized in the table below:</w:t>
      </w:r>
      <w:r>
        <w:tab/>
      </w:r>
    </w:p>
    <w:p w14:paraId="47DCBA3C" w14:textId="6462F3EC" w:rsidR="002428F4" w:rsidRDefault="002428F4" w:rsidP="002428F4">
      <w:pPr>
        <w:pStyle w:val="S-Body"/>
        <w:tabs>
          <w:tab w:val="left" w:pos="993"/>
        </w:tabs>
        <w:ind w:left="792"/>
        <w:rPr>
          <w:rFonts w:hint="eastAsia"/>
        </w:rPr>
      </w:pPr>
      <w:r w:rsidRPr="000107C2">
        <w:rPr>
          <w:noProof/>
        </w:rPr>
        <w:lastRenderedPageBreak/>
        <w:drawing>
          <wp:inline distT="0" distB="0" distL="0" distR="0" wp14:anchorId="0317CB65" wp14:editId="7A881825">
            <wp:extent cx="3652934" cy="20497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5843" cy="2101914"/>
                    </a:xfrm>
                    <a:prstGeom prst="rect">
                      <a:avLst/>
                    </a:prstGeom>
                    <a:noFill/>
                  </pic:spPr>
                </pic:pic>
              </a:graphicData>
            </a:graphic>
          </wp:inline>
        </w:drawing>
      </w:r>
    </w:p>
    <w:tbl>
      <w:tblPr>
        <w:tblStyle w:val="TableGrid"/>
        <w:tblW w:w="5452" w:type="dxa"/>
        <w:tblInd w:w="1087" w:type="dxa"/>
        <w:tblLayout w:type="fixed"/>
        <w:tblLook w:val="04A0" w:firstRow="1" w:lastRow="0" w:firstColumn="1" w:lastColumn="0" w:noHBand="0" w:noVBand="1"/>
      </w:tblPr>
      <w:tblGrid>
        <w:gridCol w:w="2945"/>
        <w:gridCol w:w="2507"/>
      </w:tblGrid>
      <w:tr w:rsidR="002428F4" w:rsidRPr="000107C2" w14:paraId="14355760" w14:textId="77777777" w:rsidTr="0000178F">
        <w:trPr>
          <w:trHeight w:val="257"/>
        </w:trPr>
        <w:tc>
          <w:tcPr>
            <w:tcW w:w="2945" w:type="dxa"/>
            <w:shd w:val="clear" w:color="auto" w:fill="D9D9D9" w:themeFill="background1" w:themeFillShade="D9"/>
          </w:tcPr>
          <w:p w14:paraId="79E15D0B" w14:textId="77777777" w:rsidR="002428F4" w:rsidRPr="000107C2" w:rsidRDefault="002428F4" w:rsidP="002428F4">
            <w:pPr>
              <w:pStyle w:val="S-Table-Heading"/>
              <w:rPr>
                <w:rFonts w:hint="eastAsia"/>
              </w:rPr>
            </w:pPr>
            <w:r w:rsidRPr="000107C2">
              <w:t>Vulnerability Severity</w:t>
            </w:r>
          </w:p>
        </w:tc>
        <w:tc>
          <w:tcPr>
            <w:tcW w:w="2507" w:type="dxa"/>
            <w:shd w:val="clear" w:color="auto" w:fill="D9D9D9" w:themeFill="background1" w:themeFillShade="D9"/>
          </w:tcPr>
          <w:p w14:paraId="55BB799D" w14:textId="77777777" w:rsidR="002428F4" w:rsidRPr="000107C2" w:rsidRDefault="002428F4" w:rsidP="002428F4">
            <w:pPr>
              <w:pStyle w:val="S-Table-Heading"/>
              <w:rPr>
                <w:rFonts w:hint="eastAsia"/>
              </w:rPr>
            </w:pPr>
            <w:r w:rsidRPr="000107C2">
              <w:t>CVSS Severity Score</w:t>
            </w:r>
          </w:p>
        </w:tc>
      </w:tr>
      <w:tr w:rsidR="002428F4" w:rsidRPr="000107C2" w14:paraId="6FE52D07" w14:textId="77777777" w:rsidTr="0000178F">
        <w:trPr>
          <w:trHeight w:val="257"/>
        </w:trPr>
        <w:tc>
          <w:tcPr>
            <w:tcW w:w="2945" w:type="dxa"/>
          </w:tcPr>
          <w:p w14:paraId="5D65C175" w14:textId="77777777" w:rsidR="002428F4" w:rsidRPr="000107C2" w:rsidRDefault="002428F4" w:rsidP="002428F4">
            <w:pPr>
              <w:pStyle w:val="S-Table-Cells"/>
              <w:rPr>
                <w:rFonts w:hint="eastAsia"/>
              </w:rPr>
            </w:pPr>
            <w:r w:rsidRPr="000107C2">
              <w:t>Critical</w:t>
            </w:r>
          </w:p>
        </w:tc>
        <w:tc>
          <w:tcPr>
            <w:tcW w:w="2507" w:type="dxa"/>
          </w:tcPr>
          <w:p w14:paraId="23BB9F90" w14:textId="77777777" w:rsidR="002428F4" w:rsidRPr="000107C2" w:rsidRDefault="002428F4" w:rsidP="002428F4">
            <w:pPr>
              <w:pStyle w:val="S-Table-Cells"/>
              <w:rPr>
                <w:rFonts w:hint="eastAsia"/>
              </w:rPr>
            </w:pPr>
            <w:r w:rsidRPr="000107C2">
              <w:t>9.0-10.0</w:t>
            </w:r>
          </w:p>
        </w:tc>
      </w:tr>
      <w:tr w:rsidR="002428F4" w:rsidRPr="000107C2" w14:paraId="35D04E15" w14:textId="77777777" w:rsidTr="0000178F">
        <w:trPr>
          <w:trHeight w:val="257"/>
        </w:trPr>
        <w:tc>
          <w:tcPr>
            <w:tcW w:w="2945" w:type="dxa"/>
          </w:tcPr>
          <w:p w14:paraId="45FD5DF4" w14:textId="77777777" w:rsidR="002428F4" w:rsidRPr="000107C2" w:rsidRDefault="002428F4" w:rsidP="002428F4">
            <w:pPr>
              <w:pStyle w:val="S-Table-Cells"/>
              <w:rPr>
                <w:rFonts w:hint="eastAsia"/>
              </w:rPr>
            </w:pPr>
            <w:r w:rsidRPr="000107C2">
              <w:t>High</w:t>
            </w:r>
          </w:p>
        </w:tc>
        <w:tc>
          <w:tcPr>
            <w:tcW w:w="2507" w:type="dxa"/>
          </w:tcPr>
          <w:p w14:paraId="240A2F96" w14:textId="77777777" w:rsidR="002428F4" w:rsidRPr="000107C2" w:rsidRDefault="002428F4" w:rsidP="002428F4">
            <w:pPr>
              <w:pStyle w:val="S-Table-Cells"/>
              <w:rPr>
                <w:rFonts w:hint="eastAsia"/>
              </w:rPr>
            </w:pPr>
            <w:r w:rsidRPr="000107C2">
              <w:t>7.0-8.9</w:t>
            </w:r>
          </w:p>
        </w:tc>
      </w:tr>
      <w:tr w:rsidR="002428F4" w:rsidRPr="000107C2" w14:paraId="039313EF" w14:textId="77777777" w:rsidTr="0000178F">
        <w:trPr>
          <w:trHeight w:val="257"/>
        </w:trPr>
        <w:tc>
          <w:tcPr>
            <w:tcW w:w="2945" w:type="dxa"/>
          </w:tcPr>
          <w:p w14:paraId="13504523" w14:textId="77777777" w:rsidR="002428F4" w:rsidRPr="000107C2" w:rsidRDefault="002428F4" w:rsidP="002428F4">
            <w:pPr>
              <w:pStyle w:val="S-Table-Cells"/>
              <w:rPr>
                <w:rFonts w:hint="eastAsia"/>
              </w:rPr>
            </w:pPr>
            <w:r w:rsidRPr="000107C2">
              <w:t>Medium</w:t>
            </w:r>
          </w:p>
        </w:tc>
        <w:tc>
          <w:tcPr>
            <w:tcW w:w="2507" w:type="dxa"/>
          </w:tcPr>
          <w:p w14:paraId="09790A76" w14:textId="77777777" w:rsidR="002428F4" w:rsidRPr="000107C2" w:rsidRDefault="002428F4" w:rsidP="002428F4">
            <w:pPr>
              <w:pStyle w:val="S-Table-Cells"/>
              <w:rPr>
                <w:rFonts w:hint="eastAsia"/>
              </w:rPr>
            </w:pPr>
            <w:r w:rsidRPr="000107C2">
              <w:t>4.0 – 6.9</w:t>
            </w:r>
          </w:p>
        </w:tc>
      </w:tr>
      <w:tr w:rsidR="002428F4" w:rsidRPr="000107C2" w14:paraId="25FA3B7F" w14:textId="77777777" w:rsidTr="0000178F">
        <w:trPr>
          <w:trHeight w:val="257"/>
        </w:trPr>
        <w:tc>
          <w:tcPr>
            <w:tcW w:w="2945" w:type="dxa"/>
          </w:tcPr>
          <w:p w14:paraId="3C705ABE" w14:textId="77777777" w:rsidR="002428F4" w:rsidRPr="000107C2" w:rsidRDefault="002428F4" w:rsidP="002428F4">
            <w:pPr>
              <w:pStyle w:val="S-Table-Cells"/>
              <w:rPr>
                <w:rFonts w:hint="eastAsia"/>
              </w:rPr>
            </w:pPr>
            <w:r w:rsidRPr="000107C2">
              <w:t>Low</w:t>
            </w:r>
          </w:p>
        </w:tc>
        <w:tc>
          <w:tcPr>
            <w:tcW w:w="2507" w:type="dxa"/>
          </w:tcPr>
          <w:p w14:paraId="3D55F73A" w14:textId="77777777" w:rsidR="002428F4" w:rsidRPr="000107C2" w:rsidRDefault="002428F4" w:rsidP="002428F4">
            <w:pPr>
              <w:pStyle w:val="S-Table-Cells"/>
              <w:rPr>
                <w:rFonts w:hint="eastAsia"/>
              </w:rPr>
            </w:pPr>
            <w:r w:rsidRPr="000107C2">
              <w:t>0.1 – 3.9</w:t>
            </w:r>
          </w:p>
        </w:tc>
      </w:tr>
      <w:tr w:rsidR="002428F4" w:rsidRPr="000107C2" w14:paraId="5B4A14F7" w14:textId="77777777" w:rsidTr="0000178F">
        <w:trPr>
          <w:trHeight w:val="257"/>
        </w:trPr>
        <w:tc>
          <w:tcPr>
            <w:tcW w:w="2945" w:type="dxa"/>
          </w:tcPr>
          <w:p w14:paraId="0BC93F4C" w14:textId="77777777" w:rsidR="002428F4" w:rsidRPr="000107C2" w:rsidRDefault="002428F4" w:rsidP="002428F4">
            <w:pPr>
              <w:pStyle w:val="S-Table-Cells"/>
              <w:rPr>
                <w:rFonts w:hint="eastAsia"/>
              </w:rPr>
            </w:pPr>
            <w:r w:rsidRPr="000107C2">
              <w:t>None</w:t>
            </w:r>
          </w:p>
        </w:tc>
        <w:tc>
          <w:tcPr>
            <w:tcW w:w="2507" w:type="dxa"/>
          </w:tcPr>
          <w:p w14:paraId="428DF703" w14:textId="77777777" w:rsidR="002428F4" w:rsidRPr="000107C2" w:rsidRDefault="002428F4" w:rsidP="002428F4">
            <w:pPr>
              <w:pStyle w:val="S-Table-Cells"/>
              <w:rPr>
                <w:rFonts w:hint="eastAsia"/>
              </w:rPr>
            </w:pPr>
            <w:r w:rsidRPr="000107C2">
              <w:t>0</w:t>
            </w:r>
          </w:p>
        </w:tc>
      </w:tr>
    </w:tbl>
    <w:p w14:paraId="178A1695" w14:textId="402F6E74" w:rsidR="002428F4" w:rsidRPr="00CC5C56" w:rsidRDefault="00CC5C56" w:rsidP="00CC5C56">
      <w:pPr>
        <w:pStyle w:val="S-Body"/>
        <w:ind w:left="360"/>
        <w:rPr>
          <w:rFonts w:hint="eastAsia"/>
          <w:b/>
          <w:bCs/>
        </w:rPr>
      </w:pPr>
      <w:r>
        <w:br/>
      </w:r>
      <w:r>
        <w:br/>
      </w:r>
      <w:r w:rsidRPr="00CC5C56">
        <w:rPr>
          <w:b/>
          <w:bCs/>
        </w:rPr>
        <w:t>Annual Web Application Vulnerability Assessments</w:t>
      </w:r>
    </w:p>
    <w:p w14:paraId="22C7BB63" w14:textId="77777777" w:rsidR="002428F4" w:rsidRDefault="002428F4" w:rsidP="002428F4">
      <w:pPr>
        <w:pStyle w:val="S-Body"/>
        <w:numPr>
          <w:ilvl w:val="1"/>
          <w:numId w:val="25"/>
        </w:numPr>
        <w:tabs>
          <w:tab w:val="left" w:pos="993"/>
        </w:tabs>
        <w:rPr>
          <w:rFonts w:hint="eastAsia"/>
        </w:rPr>
      </w:pPr>
      <w:r>
        <w:t xml:space="preserve">Information Security must ensure that all web applications that store, process and/or transmit Highly Confidential or Confidential information and/or public facing web applications are reviewed via manual and/or automated means on an annual basis </w:t>
      </w:r>
      <w:proofErr w:type="gramStart"/>
      <w:r>
        <w:t>in order to</w:t>
      </w:r>
      <w:proofErr w:type="gramEnd"/>
      <w:r>
        <w:t xml:space="preserve"> identify any vulnerabilities. At a minimum the scope of the testing must ensure web applications are assessed against industry accepted guidance (</w:t>
      </w:r>
      <w:proofErr w:type="gramStart"/>
      <w:r>
        <w:t>i.e.</w:t>
      </w:r>
      <w:proofErr w:type="gramEnd"/>
      <w:r>
        <w:t xml:space="preserve"> OWASP Top Ten or SANS Common Web Exposures Top 25). Alternately, IT may also implement a Web Application firewall in front of web applications </w:t>
      </w:r>
      <w:proofErr w:type="gramStart"/>
      <w:r>
        <w:t>in order to</w:t>
      </w:r>
      <w:proofErr w:type="gramEnd"/>
      <w:r>
        <w:t xml:space="preserve"> alleviate the requirement to perform annual web application vulnerability assessments. Remediation of identified vulnerabilities must follow the requirements specified within the Patch Management procedures.</w:t>
      </w:r>
    </w:p>
    <w:p w14:paraId="6812A8F2" w14:textId="76AD3978" w:rsidR="002428F4" w:rsidRDefault="002428F4" w:rsidP="002428F4">
      <w:pPr>
        <w:pStyle w:val="S-Body"/>
        <w:tabs>
          <w:tab w:val="left" w:pos="993"/>
        </w:tabs>
        <w:ind w:left="792"/>
        <w:rPr>
          <w:rFonts w:hint="eastAsia"/>
        </w:rPr>
      </w:pPr>
      <w:r>
        <w:lastRenderedPageBreak/>
        <w:t>The above testing must also be performed after any changes to application code and/or infrastructure configuration changes.</w:t>
      </w:r>
    </w:p>
    <w:p w14:paraId="7E04736D" w14:textId="04734762" w:rsidR="002428F4" w:rsidRDefault="00CC5C56" w:rsidP="00CC5C56">
      <w:pPr>
        <w:pStyle w:val="S-Body"/>
        <w:tabs>
          <w:tab w:val="left" w:pos="284"/>
        </w:tabs>
        <w:rPr>
          <w:rFonts w:hint="eastAsia"/>
        </w:rPr>
      </w:pPr>
      <w:r>
        <w:rPr>
          <w:b/>
          <w:bCs/>
        </w:rPr>
        <w:tab/>
      </w:r>
      <w:r w:rsidR="002428F4" w:rsidRPr="002428F4">
        <w:rPr>
          <w:b/>
          <w:bCs/>
        </w:rPr>
        <w:t>Quarterly Wireless Access Point Review</w:t>
      </w:r>
    </w:p>
    <w:p w14:paraId="7CF5B29E" w14:textId="77777777" w:rsidR="002428F4" w:rsidRDefault="002428F4" w:rsidP="00664CBD">
      <w:pPr>
        <w:pStyle w:val="S-Body"/>
        <w:numPr>
          <w:ilvl w:val="1"/>
          <w:numId w:val="25"/>
        </w:numPr>
        <w:tabs>
          <w:tab w:val="left" w:pos="1134"/>
        </w:tabs>
        <w:ind w:left="851" w:hanging="425"/>
        <w:rPr>
          <w:rFonts w:hint="eastAsia"/>
        </w:rPr>
      </w:pPr>
      <w:r>
        <w:t>Information Security must perform a quarterly assessment to detect the presence of unauthorized wireless access points at Head Office locations throughout Signifi or within the personal information data environment. The following are acceptable methods to be used to detect unauthorized wireless access points:</w:t>
      </w:r>
    </w:p>
    <w:p w14:paraId="78D240E5" w14:textId="77777777" w:rsidR="002428F4" w:rsidRDefault="002428F4" w:rsidP="00664CBD">
      <w:pPr>
        <w:pStyle w:val="S-Body"/>
        <w:numPr>
          <w:ilvl w:val="1"/>
          <w:numId w:val="29"/>
        </w:numPr>
        <w:ind w:left="1276"/>
        <w:rPr>
          <w:rFonts w:hint="eastAsia"/>
        </w:rPr>
      </w:pPr>
      <w:r>
        <w:t>Network Access Control/Wireless Intrusion Detection Systems (must be deployed across the entire environment to ensure all networked locations are covered) and must be configured to issue an immediate alert to network security personnel; and/or</w:t>
      </w:r>
    </w:p>
    <w:p w14:paraId="351087CE" w14:textId="77777777" w:rsidR="002428F4" w:rsidRDefault="002428F4" w:rsidP="00664CBD">
      <w:pPr>
        <w:pStyle w:val="S-Body"/>
        <w:numPr>
          <w:ilvl w:val="1"/>
          <w:numId w:val="29"/>
        </w:numPr>
        <w:ind w:left="1276"/>
        <w:rPr>
          <w:rFonts w:hint="eastAsia"/>
        </w:rPr>
      </w:pPr>
      <w:r>
        <w:t>Physical inspection using a wireless scanner at each designated physical Company location where Network Access Control/Wireless Intrusion Detection Systems are not deployed.</w:t>
      </w:r>
    </w:p>
    <w:p w14:paraId="15E83E81" w14:textId="6BEEFB7F" w:rsidR="002428F4" w:rsidRDefault="002428F4" w:rsidP="00664CBD">
      <w:pPr>
        <w:pStyle w:val="S-Body"/>
        <w:numPr>
          <w:ilvl w:val="1"/>
          <w:numId w:val="29"/>
        </w:numPr>
        <w:ind w:left="1276"/>
        <w:rPr>
          <w:rFonts w:hint="eastAsia"/>
        </w:rPr>
      </w:pPr>
      <w:r>
        <w:t>Any exceptions identified through the execution of the above testing must immediately be escalated via the established incident management procedure and protocol.</w:t>
      </w:r>
      <w:r w:rsidR="00CC5C56">
        <w:br/>
      </w:r>
    </w:p>
    <w:p w14:paraId="0631966C" w14:textId="2347A30E" w:rsidR="001D5C39" w:rsidRDefault="002428F4" w:rsidP="00CC5C56">
      <w:pPr>
        <w:pStyle w:val="S-Body"/>
        <w:ind w:left="360"/>
        <w:rPr>
          <w:rFonts w:hint="eastAsia"/>
        </w:rPr>
      </w:pPr>
      <w:r w:rsidRPr="002428F4">
        <w:rPr>
          <w:b/>
          <w:bCs/>
        </w:rPr>
        <w:t>Annual Network and Application Security Penetration Testing</w:t>
      </w:r>
    </w:p>
    <w:p w14:paraId="13C95758" w14:textId="77777777" w:rsidR="002428F4" w:rsidRDefault="002428F4" w:rsidP="002428F4">
      <w:pPr>
        <w:pStyle w:val="S-Body"/>
        <w:numPr>
          <w:ilvl w:val="1"/>
          <w:numId w:val="25"/>
        </w:numPr>
        <w:tabs>
          <w:tab w:val="left" w:pos="993"/>
        </w:tabs>
        <w:rPr>
          <w:rFonts w:hint="eastAsia"/>
        </w:rPr>
      </w:pPr>
      <w:r>
        <w:t>Information Security must engage a qualified security services vendor to perform against the following:</w:t>
      </w:r>
    </w:p>
    <w:p w14:paraId="2E288856" w14:textId="7C129E30" w:rsidR="002428F4" w:rsidRDefault="002428F4" w:rsidP="00664CBD">
      <w:pPr>
        <w:pStyle w:val="S-Body"/>
        <w:numPr>
          <w:ilvl w:val="1"/>
          <w:numId w:val="30"/>
        </w:numPr>
        <w:ind w:left="1276"/>
        <w:rPr>
          <w:rFonts w:hint="eastAsia"/>
        </w:rPr>
      </w:pPr>
      <w:r>
        <w:t xml:space="preserve">Company’s network </w:t>
      </w:r>
      <w:r w:rsidR="005A054A">
        <w:t>perimeter.</w:t>
      </w:r>
    </w:p>
    <w:p w14:paraId="060F62CC" w14:textId="6BCAB980" w:rsidR="001D5C39" w:rsidRDefault="002428F4" w:rsidP="00664CBD">
      <w:pPr>
        <w:pStyle w:val="S-Body"/>
        <w:numPr>
          <w:ilvl w:val="1"/>
          <w:numId w:val="30"/>
        </w:numPr>
        <w:ind w:left="1276"/>
        <w:rPr>
          <w:rFonts w:hint="eastAsia"/>
        </w:rPr>
      </w:pPr>
      <w:r>
        <w:t>All internal and external applications and system components considered part of the personal information data environment and or critical systems deemed necessary at the time of the assessment.</w:t>
      </w:r>
    </w:p>
    <w:p w14:paraId="5B3B6234" w14:textId="717DB993" w:rsidR="002428F4" w:rsidRDefault="002428F4" w:rsidP="00CC5C56">
      <w:pPr>
        <w:pStyle w:val="S-Body"/>
        <w:ind w:left="360"/>
        <w:rPr>
          <w:rFonts w:hint="eastAsia"/>
        </w:rPr>
      </w:pPr>
      <w:r w:rsidRPr="00BF5E67">
        <w:rPr>
          <w:rFonts w:cstheme="minorHAnsi"/>
          <w:b/>
          <w:bCs/>
        </w:rPr>
        <w:t>Review and Remediation</w:t>
      </w:r>
    </w:p>
    <w:p w14:paraId="746077AB" w14:textId="77777777" w:rsidR="002428F4" w:rsidRDefault="002428F4" w:rsidP="002428F4">
      <w:pPr>
        <w:pStyle w:val="S-Body"/>
        <w:numPr>
          <w:ilvl w:val="1"/>
          <w:numId w:val="25"/>
        </w:numPr>
        <w:tabs>
          <w:tab w:val="left" w:pos="993"/>
        </w:tabs>
        <w:rPr>
          <w:rFonts w:hint="eastAsia"/>
        </w:rPr>
      </w:pPr>
      <w:r>
        <w:t xml:space="preserve">Information Security must ensure a formalized procedure for reviewing, risk assessing and formulating potential remediation options is developed and </w:t>
      </w:r>
      <w:r>
        <w:lastRenderedPageBreak/>
        <w:t>presented to designated business owners following the execution of the above noted testing and review activities. Threats or vulnerabilities that may pose a significant threat to Highly Confidential or Confidential information must immediately be escalated to the appropriate business unit.</w:t>
      </w:r>
    </w:p>
    <w:p w14:paraId="49D7C039" w14:textId="6B92DBC8" w:rsidR="001D5C39" w:rsidRDefault="002428F4" w:rsidP="002428F4">
      <w:pPr>
        <w:pStyle w:val="S-Body"/>
        <w:numPr>
          <w:ilvl w:val="1"/>
          <w:numId w:val="25"/>
        </w:numPr>
        <w:tabs>
          <w:tab w:val="left" w:pos="993"/>
        </w:tabs>
        <w:rPr>
          <w:rFonts w:hint="eastAsia"/>
        </w:rPr>
      </w:pPr>
      <w:r>
        <w:t>Vulnerability Management Timeline – At minimum, policies must ensure patching must be completed and operational within the timeline indicated below:</w:t>
      </w:r>
      <w:r>
        <w:br/>
      </w:r>
      <w:r>
        <w:br/>
      </w:r>
      <w:r w:rsidRPr="000107C2">
        <w:rPr>
          <w:rFonts w:cstheme="minorHAnsi"/>
          <w:noProof/>
        </w:rPr>
        <w:drawing>
          <wp:inline distT="0" distB="0" distL="0" distR="0" wp14:anchorId="2B487A20" wp14:editId="1681DB5E">
            <wp:extent cx="3274060" cy="27863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060" cy="2786380"/>
                    </a:xfrm>
                    <a:prstGeom prst="rect">
                      <a:avLst/>
                    </a:prstGeom>
                    <a:noFill/>
                  </pic:spPr>
                </pic:pic>
              </a:graphicData>
            </a:graphic>
          </wp:inline>
        </w:drawing>
      </w:r>
    </w:p>
    <w:p w14:paraId="0AD6D79F" w14:textId="7FDE3B94" w:rsidR="001D5C39" w:rsidRDefault="001D5C39" w:rsidP="00C60407">
      <w:pPr>
        <w:pStyle w:val="S-SubHeading"/>
        <w:numPr>
          <w:ilvl w:val="0"/>
          <w:numId w:val="25"/>
        </w:numPr>
        <w:rPr>
          <w:rFonts w:hint="eastAsia"/>
        </w:rPr>
      </w:pPr>
      <w:r w:rsidRPr="001D5C39">
        <w:t>File Integrity Monitoring</w:t>
      </w:r>
    </w:p>
    <w:p w14:paraId="33D017B2" w14:textId="2E61F640" w:rsidR="002428F4" w:rsidRDefault="002428F4" w:rsidP="0065246B">
      <w:pPr>
        <w:pStyle w:val="S-Body"/>
        <w:numPr>
          <w:ilvl w:val="1"/>
          <w:numId w:val="25"/>
        </w:numPr>
        <w:tabs>
          <w:tab w:val="left" w:pos="993"/>
        </w:tabs>
        <w:rPr>
          <w:rFonts w:hint="eastAsia"/>
        </w:rPr>
      </w:pPr>
      <w:r w:rsidRPr="002428F4">
        <w:t xml:space="preserve">IT must deploy file integrity monitoring tools on all systems considered part of the personal information data environment </w:t>
      </w:r>
      <w:proofErr w:type="gramStart"/>
      <w:r w:rsidRPr="002428F4">
        <w:t>in order to</w:t>
      </w:r>
      <w:proofErr w:type="gramEnd"/>
      <w:r w:rsidRPr="002428F4">
        <w:t xml:space="preserve"> detect and alert security personnel of unauthorized changes to critical files and/or system configurations. Comparisons of changed files must be performed at minimum on a weekly basis.</w:t>
      </w:r>
    </w:p>
    <w:p w14:paraId="238D2A52" w14:textId="77777777" w:rsidR="00AE0465" w:rsidRDefault="00AE0465" w:rsidP="00AE0465">
      <w:pPr>
        <w:spacing w:after="0"/>
      </w:pPr>
    </w:p>
    <w:p w14:paraId="799D6387" w14:textId="533D9805" w:rsidR="00AE0465" w:rsidRDefault="00AE0465" w:rsidP="00AE0465">
      <w:pPr>
        <w:spacing w:after="0"/>
      </w:pPr>
    </w:p>
    <w:p w14:paraId="7CFDC849" w14:textId="2EF99BDF" w:rsidR="009635BE" w:rsidRDefault="009635BE" w:rsidP="00AE0465">
      <w:pPr>
        <w:spacing w:after="0"/>
      </w:pPr>
    </w:p>
    <w:p w14:paraId="1E947755" w14:textId="77777777" w:rsidR="00664CBD" w:rsidRDefault="00664CBD">
      <w:pPr>
        <w:spacing w:after="160" w:line="259" w:lineRule="auto"/>
        <w:rPr>
          <w:rFonts w:ascii="Helvetica Neue" w:eastAsia="Helvetica Neue" w:hAnsi="Helvetica Neue" w:cs="Helvetica Neue"/>
          <w:color w:val="E33D53"/>
          <w:sz w:val="42"/>
          <w:szCs w:val="42"/>
          <w:u w:color="FFFFFF"/>
          <w:bdr w:val="nil"/>
          <w:lang w:val="en-CA" w:eastAsia="en-CA"/>
        </w:rPr>
      </w:pPr>
      <w:bookmarkStart w:id="10" w:name="_Toc23349329"/>
      <w:r>
        <w:br w:type="page"/>
      </w:r>
    </w:p>
    <w:p w14:paraId="357B6EC9" w14:textId="7C0673C6" w:rsidR="00AE0465" w:rsidRPr="005A054A" w:rsidRDefault="00AE0465" w:rsidP="00CC5C56">
      <w:pPr>
        <w:pStyle w:val="S-Heading"/>
        <w:rPr>
          <w:sz w:val="32"/>
          <w:szCs w:val="32"/>
        </w:rPr>
      </w:pPr>
      <w:r w:rsidRPr="005A054A">
        <w:rPr>
          <w:color w:val="FF0000"/>
          <w:sz w:val="32"/>
          <w:szCs w:val="32"/>
        </w:rPr>
        <w:lastRenderedPageBreak/>
        <w:t>Enforcement</w:t>
      </w:r>
      <w:bookmarkEnd w:id="10"/>
      <w:r w:rsidRPr="005A054A">
        <w:rPr>
          <w:sz w:val="32"/>
          <w:szCs w:val="32"/>
        </w:rPr>
        <w:tab/>
      </w:r>
    </w:p>
    <w:p w14:paraId="085D9AC2" w14:textId="212B1652" w:rsidR="00AE0465" w:rsidRPr="00AE0465" w:rsidRDefault="001F5D0D" w:rsidP="00664CBD">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0250D8C8" w14:textId="77777777" w:rsidR="00A24E47" w:rsidRPr="005A054A" w:rsidRDefault="00A24E47" w:rsidP="00A24E47">
      <w:pPr>
        <w:pStyle w:val="S-Heading"/>
        <w:rPr>
          <w:color w:val="FF0000"/>
          <w:sz w:val="32"/>
          <w:szCs w:val="32"/>
        </w:rPr>
      </w:pPr>
      <w:bookmarkStart w:id="11" w:name="_Toc510417374"/>
      <w:bookmarkStart w:id="12" w:name="_Hlk58417268"/>
      <w:r w:rsidRPr="005A054A">
        <w:rPr>
          <w:color w:val="FF0000"/>
          <w:sz w:val="32"/>
          <w:szCs w:val="32"/>
        </w:rPr>
        <w:t>Update</w:t>
      </w:r>
      <w:r w:rsidRPr="005A054A">
        <w:rPr>
          <w:color w:val="FF0000"/>
          <w:sz w:val="32"/>
          <w:szCs w:val="32"/>
        </w:rPr>
        <w:tab/>
      </w:r>
    </w:p>
    <w:p w14:paraId="729914C5" w14:textId="77777777" w:rsidR="00A24E47" w:rsidRDefault="00A24E47" w:rsidP="00A24E47">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1"/>
    </w:p>
    <w:bookmarkEnd w:id="12"/>
    <w:p w14:paraId="1136CC18" w14:textId="7E406E1C" w:rsidR="001F5D0D" w:rsidRDefault="001F5D0D" w:rsidP="00AE0465">
      <w:pPr>
        <w:keepLines/>
        <w:spacing w:after="0"/>
        <w:rPr>
          <w:rFonts w:cstheme="minorHAnsi"/>
        </w:rPr>
      </w:pPr>
    </w:p>
    <w:p w14:paraId="1813889D" w14:textId="77777777" w:rsidR="00AE0465" w:rsidRPr="005A054A" w:rsidRDefault="00AE0465" w:rsidP="00CC5C56">
      <w:pPr>
        <w:pStyle w:val="S-Heading"/>
        <w:rPr>
          <w:color w:val="FF0000"/>
          <w:sz w:val="32"/>
          <w:szCs w:val="32"/>
        </w:rPr>
      </w:pPr>
      <w:bookmarkStart w:id="13" w:name="_Toc510450541"/>
      <w:bookmarkStart w:id="14" w:name="_Toc23349330"/>
      <w:r w:rsidRPr="005A054A">
        <w:rPr>
          <w:color w:val="FF0000"/>
          <w:sz w:val="32"/>
          <w:szCs w:val="32"/>
        </w:rPr>
        <w:t>Revision History</w:t>
      </w:r>
      <w:bookmarkEnd w:id="13"/>
      <w:bookmarkEnd w:id="14"/>
    </w:p>
    <w:tbl>
      <w:tblPr>
        <w:tblStyle w:val="TableGrid"/>
        <w:tblpPr w:leftFromText="180" w:rightFromText="180" w:vertAnchor="text" w:horzAnchor="margin" w:tblpY="495"/>
        <w:tblW w:w="9533" w:type="dxa"/>
        <w:tblLook w:val="04A0" w:firstRow="1" w:lastRow="0" w:firstColumn="1" w:lastColumn="0" w:noHBand="0" w:noVBand="1"/>
      </w:tblPr>
      <w:tblGrid>
        <w:gridCol w:w="1398"/>
        <w:gridCol w:w="1770"/>
        <w:gridCol w:w="3873"/>
        <w:gridCol w:w="2492"/>
      </w:tblGrid>
      <w:tr w:rsidR="00636B58" w14:paraId="47A038CF" w14:textId="77777777" w:rsidTr="00A24E47">
        <w:trPr>
          <w:trHeight w:val="673"/>
        </w:trPr>
        <w:tc>
          <w:tcPr>
            <w:tcW w:w="1398" w:type="dxa"/>
            <w:shd w:val="clear" w:color="auto" w:fill="auto"/>
          </w:tcPr>
          <w:p w14:paraId="3E3DD1B8" w14:textId="77777777" w:rsidR="00636B58" w:rsidRPr="00477BCF" w:rsidRDefault="00636B58" w:rsidP="00CC5C56">
            <w:pPr>
              <w:pStyle w:val="S-Table-Heading"/>
              <w:rPr>
                <w:rFonts w:hint="eastAsia"/>
              </w:rPr>
            </w:pPr>
            <w:r w:rsidRPr="004B15CB">
              <w:t>VERSION</w:t>
            </w:r>
          </w:p>
        </w:tc>
        <w:tc>
          <w:tcPr>
            <w:tcW w:w="1770" w:type="dxa"/>
            <w:shd w:val="clear" w:color="auto" w:fill="auto"/>
          </w:tcPr>
          <w:p w14:paraId="64A343CD" w14:textId="77777777" w:rsidR="00636B58" w:rsidRPr="00477BCF" w:rsidRDefault="00636B58" w:rsidP="00CC5C56">
            <w:pPr>
              <w:pStyle w:val="S-Table-Heading"/>
              <w:rPr>
                <w:rFonts w:hint="eastAsia"/>
              </w:rPr>
            </w:pPr>
            <w:r w:rsidRPr="004B15CB">
              <w:t>DATE</w:t>
            </w:r>
          </w:p>
        </w:tc>
        <w:tc>
          <w:tcPr>
            <w:tcW w:w="3873" w:type="dxa"/>
            <w:shd w:val="clear" w:color="auto" w:fill="auto"/>
          </w:tcPr>
          <w:p w14:paraId="666D0602" w14:textId="77777777" w:rsidR="00636B58" w:rsidRPr="00B11333" w:rsidRDefault="00636B58" w:rsidP="00CC5C56">
            <w:pPr>
              <w:pStyle w:val="S-Table-Heading"/>
              <w:rPr>
                <w:rFonts w:hint="eastAsia"/>
              </w:rPr>
            </w:pPr>
            <w:r w:rsidRPr="00B11333">
              <w:t>SUMMARY OF CHANGE</w:t>
            </w:r>
          </w:p>
        </w:tc>
        <w:tc>
          <w:tcPr>
            <w:tcW w:w="2492" w:type="dxa"/>
            <w:shd w:val="clear" w:color="auto" w:fill="auto"/>
          </w:tcPr>
          <w:p w14:paraId="7F8C6233" w14:textId="77777777" w:rsidR="00636B58" w:rsidRPr="00B11333" w:rsidRDefault="00636B58" w:rsidP="00CC5C56">
            <w:pPr>
              <w:pStyle w:val="S-Table-Heading"/>
              <w:rPr>
                <w:rFonts w:hint="eastAsia"/>
              </w:rPr>
            </w:pPr>
            <w:r w:rsidRPr="00B11333">
              <w:t>CHANGED BY</w:t>
            </w:r>
          </w:p>
        </w:tc>
      </w:tr>
      <w:tr w:rsidR="00C857ED" w14:paraId="6F78EDF0" w14:textId="77777777" w:rsidTr="00A24E47">
        <w:trPr>
          <w:trHeight w:val="309"/>
        </w:trPr>
        <w:tc>
          <w:tcPr>
            <w:tcW w:w="1398" w:type="dxa"/>
            <w:tcBorders>
              <w:top w:val="single" w:sz="4" w:space="0" w:color="auto"/>
              <w:left w:val="single" w:sz="4" w:space="0" w:color="auto"/>
              <w:bottom w:val="single" w:sz="4" w:space="0" w:color="auto"/>
              <w:right w:val="single" w:sz="4" w:space="0" w:color="auto"/>
            </w:tcBorders>
          </w:tcPr>
          <w:p w14:paraId="0AA2C81A" w14:textId="4899D902" w:rsidR="00C857ED" w:rsidRDefault="003F721F" w:rsidP="00CC5C56">
            <w:pPr>
              <w:pStyle w:val="S-Table-Cells"/>
              <w:rPr>
                <w:rFonts w:hint="eastAsia"/>
              </w:rPr>
            </w:pPr>
            <w:r>
              <w:t>1.0</w:t>
            </w:r>
          </w:p>
        </w:tc>
        <w:tc>
          <w:tcPr>
            <w:tcW w:w="1770" w:type="dxa"/>
            <w:tcBorders>
              <w:top w:val="single" w:sz="4" w:space="0" w:color="auto"/>
              <w:left w:val="single" w:sz="4" w:space="0" w:color="auto"/>
              <w:bottom w:val="single" w:sz="4" w:space="0" w:color="auto"/>
              <w:right w:val="single" w:sz="4" w:space="0" w:color="auto"/>
            </w:tcBorders>
          </w:tcPr>
          <w:p w14:paraId="21E33443" w14:textId="3C40930E" w:rsidR="00C857ED" w:rsidRDefault="00A24E47" w:rsidP="00CC5C56">
            <w:pPr>
              <w:pStyle w:val="S-Table-Cells"/>
              <w:rPr>
                <w:rFonts w:hint="eastAsia"/>
              </w:rPr>
            </w:pPr>
            <w:r>
              <w:t>2019-12-05</w:t>
            </w:r>
          </w:p>
        </w:tc>
        <w:tc>
          <w:tcPr>
            <w:tcW w:w="3873" w:type="dxa"/>
            <w:tcBorders>
              <w:top w:val="single" w:sz="4" w:space="0" w:color="auto"/>
              <w:left w:val="single" w:sz="4" w:space="0" w:color="auto"/>
              <w:bottom w:val="single" w:sz="4" w:space="0" w:color="auto"/>
              <w:right w:val="single" w:sz="4" w:space="0" w:color="auto"/>
            </w:tcBorders>
          </w:tcPr>
          <w:p w14:paraId="2458A544" w14:textId="38F20747" w:rsidR="00C857ED" w:rsidRDefault="00F823E9" w:rsidP="00CC5C56">
            <w:pPr>
              <w:pStyle w:val="S-Table-Cells"/>
              <w:rPr>
                <w:rFonts w:hint="eastAsia"/>
              </w:rPr>
            </w:pPr>
            <w:r>
              <w:t>First version</w:t>
            </w:r>
          </w:p>
        </w:tc>
        <w:tc>
          <w:tcPr>
            <w:tcW w:w="2492" w:type="dxa"/>
            <w:tcBorders>
              <w:top w:val="single" w:sz="4" w:space="0" w:color="auto"/>
              <w:left w:val="single" w:sz="4" w:space="0" w:color="auto"/>
              <w:bottom w:val="single" w:sz="4" w:space="0" w:color="auto"/>
              <w:right w:val="single" w:sz="4" w:space="0" w:color="auto"/>
            </w:tcBorders>
          </w:tcPr>
          <w:p w14:paraId="77C8DAA5" w14:textId="06901323" w:rsidR="00C857ED" w:rsidRPr="00477BCF" w:rsidRDefault="00F823E9" w:rsidP="00CC5C56">
            <w:pPr>
              <w:pStyle w:val="S-Table-Cells"/>
              <w:rPr>
                <w:rFonts w:hint="eastAsia"/>
              </w:rPr>
            </w:pPr>
            <w:r>
              <w:t>Darace Rose</w:t>
            </w:r>
          </w:p>
        </w:tc>
      </w:tr>
      <w:tr w:rsidR="00C857ED" w14:paraId="2152B685" w14:textId="77777777" w:rsidTr="00A24E47">
        <w:trPr>
          <w:trHeight w:val="309"/>
        </w:trPr>
        <w:tc>
          <w:tcPr>
            <w:tcW w:w="1398" w:type="dxa"/>
            <w:tcBorders>
              <w:top w:val="single" w:sz="4" w:space="0" w:color="auto"/>
              <w:left w:val="single" w:sz="4" w:space="0" w:color="auto"/>
              <w:bottom w:val="single" w:sz="4" w:space="0" w:color="auto"/>
              <w:right w:val="single" w:sz="4" w:space="0" w:color="auto"/>
            </w:tcBorders>
          </w:tcPr>
          <w:p w14:paraId="68B047D2" w14:textId="3913A437" w:rsidR="00C857ED" w:rsidRDefault="00F823E9" w:rsidP="00CC5C56">
            <w:pPr>
              <w:pStyle w:val="S-Table-Cells"/>
              <w:rPr>
                <w:rFonts w:hint="eastAsia"/>
              </w:rPr>
            </w:pPr>
            <w:r>
              <w:t>1.1</w:t>
            </w:r>
          </w:p>
        </w:tc>
        <w:tc>
          <w:tcPr>
            <w:tcW w:w="1770" w:type="dxa"/>
            <w:tcBorders>
              <w:top w:val="single" w:sz="4" w:space="0" w:color="auto"/>
              <w:left w:val="single" w:sz="4" w:space="0" w:color="auto"/>
              <w:bottom w:val="single" w:sz="4" w:space="0" w:color="auto"/>
              <w:right w:val="single" w:sz="4" w:space="0" w:color="auto"/>
            </w:tcBorders>
          </w:tcPr>
          <w:p w14:paraId="4DC02F56" w14:textId="6AD36646" w:rsidR="00C857ED" w:rsidRDefault="00A24E47" w:rsidP="00CC5C56">
            <w:pPr>
              <w:pStyle w:val="S-Table-Cells"/>
              <w:rPr>
                <w:rFonts w:hint="eastAsia"/>
              </w:rPr>
            </w:pPr>
            <w:r>
              <w:t>2019-12-17</w:t>
            </w:r>
          </w:p>
        </w:tc>
        <w:tc>
          <w:tcPr>
            <w:tcW w:w="3873" w:type="dxa"/>
            <w:tcBorders>
              <w:top w:val="single" w:sz="4" w:space="0" w:color="auto"/>
              <w:left w:val="single" w:sz="4" w:space="0" w:color="auto"/>
              <w:bottom w:val="single" w:sz="4" w:space="0" w:color="auto"/>
              <w:right w:val="single" w:sz="4" w:space="0" w:color="auto"/>
            </w:tcBorders>
          </w:tcPr>
          <w:p w14:paraId="60E4CD3B" w14:textId="48FE6FC6" w:rsidR="00C857ED" w:rsidRDefault="00F823E9" w:rsidP="00CC5C56">
            <w:pPr>
              <w:pStyle w:val="S-Table-Cells"/>
              <w:rPr>
                <w:rFonts w:hint="eastAsia"/>
              </w:rPr>
            </w:pPr>
            <w:r>
              <w:t>Update template</w:t>
            </w:r>
          </w:p>
        </w:tc>
        <w:tc>
          <w:tcPr>
            <w:tcW w:w="2492" w:type="dxa"/>
            <w:tcBorders>
              <w:top w:val="single" w:sz="4" w:space="0" w:color="auto"/>
              <w:left w:val="single" w:sz="4" w:space="0" w:color="auto"/>
              <w:bottom w:val="single" w:sz="4" w:space="0" w:color="auto"/>
              <w:right w:val="single" w:sz="4" w:space="0" w:color="auto"/>
            </w:tcBorders>
          </w:tcPr>
          <w:p w14:paraId="44A24C37" w14:textId="74429402" w:rsidR="00C857ED" w:rsidRDefault="00F823E9" w:rsidP="00CC5C56">
            <w:pPr>
              <w:pStyle w:val="S-Table-Cells"/>
              <w:rPr>
                <w:rFonts w:hint="eastAsia"/>
              </w:rPr>
            </w:pPr>
            <w:r>
              <w:t>Razvan Anghelidi</w:t>
            </w:r>
          </w:p>
        </w:tc>
      </w:tr>
      <w:tr w:rsidR="00C857ED" w14:paraId="1A5E78F2" w14:textId="77777777" w:rsidTr="00A24E47">
        <w:trPr>
          <w:trHeight w:val="319"/>
        </w:trPr>
        <w:tc>
          <w:tcPr>
            <w:tcW w:w="1398" w:type="dxa"/>
            <w:tcBorders>
              <w:top w:val="single" w:sz="4" w:space="0" w:color="auto"/>
              <w:left w:val="single" w:sz="4" w:space="0" w:color="auto"/>
              <w:bottom w:val="single" w:sz="4" w:space="0" w:color="auto"/>
              <w:right w:val="single" w:sz="4" w:space="0" w:color="auto"/>
            </w:tcBorders>
          </w:tcPr>
          <w:p w14:paraId="7D30CC4D" w14:textId="74607EEF" w:rsidR="00C857ED" w:rsidRDefault="00A24E47" w:rsidP="00CC5C56">
            <w:pPr>
              <w:pStyle w:val="S-Table-Cells"/>
              <w:rPr>
                <w:rFonts w:hint="eastAsia"/>
              </w:rPr>
            </w:pPr>
            <w:r>
              <w:t>1.11</w:t>
            </w:r>
          </w:p>
        </w:tc>
        <w:tc>
          <w:tcPr>
            <w:tcW w:w="1770" w:type="dxa"/>
            <w:tcBorders>
              <w:top w:val="single" w:sz="4" w:space="0" w:color="auto"/>
              <w:left w:val="single" w:sz="4" w:space="0" w:color="auto"/>
              <w:bottom w:val="single" w:sz="4" w:space="0" w:color="auto"/>
              <w:right w:val="single" w:sz="4" w:space="0" w:color="auto"/>
            </w:tcBorders>
          </w:tcPr>
          <w:p w14:paraId="541AAAD2" w14:textId="0D4FF4CD" w:rsidR="00C857ED" w:rsidRDefault="00A24E47" w:rsidP="00CC5C56">
            <w:pPr>
              <w:pStyle w:val="S-Table-Cells"/>
              <w:rPr>
                <w:rFonts w:hint="eastAsia"/>
              </w:rPr>
            </w:pPr>
            <w:r>
              <w:t>2020-12-01</w:t>
            </w:r>
          </w:p>
        </w:tc>
        <w:tc>
          <w:tcPr>
            <w:tcW w:w="3873" w:type="dxa"/>
            <w:tcBorders>
              <w:top w:val="single" w:sz="4" w:space="0" w:color="auto"/>
              <w:left w:val="single" w:sz="4" w:space="0" w:color="auto"/>
              <w:bottom w:val="single" w:sz="4" w:space="0" w:color="auto"/>
              <w:right w:val="single" w:sz="4" w:space="0" w:color="auto"/>
            </w:tcBorders>
          </w:tcPr>
          <w:p w14:paraId="1E181614" w14:textId="566F68F5" w:rsidR="00C857ED" w:rsidRDefault="00A24E47" w:rsidP="00CC5C56">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1D13C44D" w14:textId="1AC05CB2" w:rsidR="00C857ED" w:rsidRDefault="00A24E47" w:rsidP="00CC5C56">
            <w:pPr>
              <w:pStyle w:val="S-Table-Cells"/>
              <w:rPr>
                <w:rFonts w:hint="eastAsia"/>
              </w:rPr>
            </w:pPr>
            <w:r>
              <w:t>Razvan Anghelidi</w:t>
            </w:r>
          </w:p>
        </w:tc>
      </w:tr>
      <w:tr w:rsidR="005A054A" w14:paraId="14E0BB84" w14:textId="77777777" w:rsidTr="00A24E47">
        <w:trPr>
          <w:trHeight w:val="319"/>
        </w:trPr>
        <w:tc>
          <w:tcPr>
            <w:tcW w:w="1398" w:type="dxa"/>
            <w:tcBorders>
              <w:top w:val="single" w:sz="4" w:space="0" w:color="auto"/>
              <w:left w:val="single" w:sz="4" w:space="0" w:color="auto"/>
              <w:bottom w:val="single" w:sz="4" w:space="0" w:color="auto"/>
              <w:right w:val="single" w:sz="4" w:space="0" w:color="auto"/>
            </w:tcBorders>
          </w:tcPr>
          <w:p w14:paraId="5752081C" w14:textId="4F28D597" w:rsidR="005A054A" w:rsidRDefault="005A054A" w:rsidP="00CC5C56">
            <w:pPr>
              <w:pStyle w:val="S-Table-Cells"/>
              <w:rPr>
                <w:rFonts w:hint="eastAsia"/>
              </w:rPr>
            </w:pPr>
            <w:r>
              <w:t>1.12</w:t>
            </w:r>
          </w:p>
        </w:tc>
        <w:tc>
          <w:tcPr>
            <w:tcW w:w="1770" w:type="dxa"/>
            <w:tcBorders>
              <w:top w:val="single" w:sz="4" w:space="0" w:color="auto"/>
              <w:left w:val="single" w:sz="4" w:space="0" w:color="auto"/>
              <w:bottom w:val="single" w:sz="4" w:space="0" w:color="auto"/>
              <w:right w:val="single" w:sz="4" w:space="0" w:color="auto"/>
            </w:tcBorders>
          </w:tcPr>
          <w:p w14:paraId="010E02ED" w14:textId="6E26CF31" w:rsidR="005A054A" w:rsidRDefault="005A054A" w:rsidP="00CC5C56">
            <w:pPr>
              <w:pStyle w:val="S-Table-Cells"/>
              <w:rPr>
                <w:rFonts w:hint="eastAsia"/>
              </w:rPr>
            </w:pPr>
            <w:r>
              <w:t>2021-12-12</w:t>
            </w:r>
          </w:p>
        </w:tc>
        <w:tc>
          <w:tcPr>
            <w:tcW w:w="3873" w:type="dxa"/>
            <w:tcBorders>
              <w:top w:val="single" w:sz="4" w:space="0" w:color="auto"/>
              <w:left w:val="single" w:sz="4" w:space="0" w:color="auto"/>
              <w:bottom w:val="single" w:sz="4" w:space="0" w:color="auto"/>
              <w:right w:val="single" w:sz="4" w:space="0" w:color="auto"/>
            </w:tcBorders>
          </w:tcPr>
          <w:p w14:paraId="1192EF07" w14:textId="2CDF120B" w:rsidR="005A054A" w:rsidRDefault="005A054A" w:rsidP="00CC5C56">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4CE8AA79" w14:textId="7F93E455" w:rsidR="005A054A" w:rsidRDefault="005A054A" w:rsidP="00CC5C56">
            <w:pPr>
              <w:pStyle w:val="S-Table-Cells"/>
              <w:rPr>
                <w:rFonts w:hint="eastAsia"/>
              </w:rPr>
            </w:pPr>
            <w:r>
              <w:t>Hadeel Alzuhairi</w:t>
            </w:r>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77777777" w:rsidR="00BD3BF3" w:rsidRDefault="00000000"/>
    <w:sectPr w:rsidR="00BD3BF3" w:rsidSect="00CC5C56">
      <w:headerReference w:type="default" r:id="rId16"/>
      <w:pgSz w:w="12240" w:h="15840"/>
      <w:pgMar w:top="2138"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4D13" w14:textId="77777777" w:rsidR="00681747" w:rsidRDefault="00681747" w:rsidP="00AE0465">
      <w:pPr>
        <w:spacing w:after="0" w:line="240" w:lineRule="auto"/>
      </w:pPr>
      <w:r>
        <w:separator/>
      </w:r>
    </w:p>
  </w:endnote>
  <w:endnote w:type="continuationSeparator" w:id="0">
    <w:p w14:paraId="6FF7A5C2" w14:textId="77777777" w:rsidR="00681747" w:rsidRDefault="00681747"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C60407" w:rsidRDefault="00000000" w:rsidP="00DE6ED7">
    <w:pPr>
      <w:pStyle w:val="Footer"/>
      <w:rPr>
        <w:rFonts w:ascii="Helvetica" w:eastAsia="Arial Unicode MS" w:hAnsi="Helvetica" w:cs="Arial Unicode MS"/>
        <w:color w:val="000000"/>
        <w:sz w:val="20"/>
        <w:szCs w:val="20"/>
        <w:bdr w:val="nil"/>
        <w:lang w:eastAsia="en-CA"/>
      </w:rPr>
    </w:pPr>
  </w:p>
  <w:p w14:paraId="126B1610" w14:textId="54BBA736" w:rsidR="00EE0B3C" w:rsidRPr="00C60407" w:rsidRDefault="00000000"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C60407">
      <w:rPr>
        <w:rFonts w:ascii="Helvetica" w:eastAsia="Arial Unicode MS" w:hAnsi="Helvetica" w:cs="Arial Unicode MS"/>
        <w:color w:val="000000"/>
        <w:sz w:val="20"/>
        <w:szCs w:val="20"/>
        <w:bdr w:val="nil"/>
        <w:lang w:eastAsia="en-CA"/>
      </w:rPr>
      <w:t xml:space="preserve"> </w:t>
    </w:r>
    <w:r w:rsidR="006C62B9" w:rsidRPr="00C60407">
      <w:rPr>
        <w:rFonts w:ascii="Helvetica" w:eastAsia="Arial Unicode MS" w:hAnsi="Helvetica" w:cs="Arial Unicode MS"/>
        <w:color w:val="000000"/>
        <w:sz w:val="20"/>
        <w:szCs w:val="20"/>
        <w:bdr w:val="nil"/>
        <w:lang w:eastAsia="en-CA"/>
      </w:rPr>
      <w:t>Risk Management Policy</w:t>
    </w:r>
    <w:r w:rsidR="00C62AE5" w:rsidRPr="00C60407">
      <w:rPr>
        <w:rFonts w:ascii="Helvetica" w:eastAsia="Arial Unicode MS" w:hAnsi="Helvetica" w:cs="Arial Unicode MS"/>
        <w:color w:val="000000"/>
        <w:sz w:val="20"/>
        <w:szCs w:val="20"/>
        <w:bdr w:val="nil"/>
        <w:lang w:eastAsia="en-CA"/>
      </w:rPr>
      <w:tab/>
    </w:r>
    <w:r w:rsidR="00C62AE5" w:rsidRPr="00C60407">
      <w:rPr>
        <w:rFonts w:ascii="Helvetica" w:eastAsia="Arial Unicode MS" w:hAnsi="Helvetica" w:cs="Arial Unicode MS"/>
        <w:color w:val="000000"/>
        <w:sz w:val="20"/>
        <w:szCs w:val="20"/>
        <w:bdr w:val="nil"/>
        <w:lang w:eastAsia="en-CA"/>
      </w:rPr>
      <w:fldChar w:fldCharType="begin"/>
    </w:r>
    <w:r w:rsidR="00C62AE5" w:rsidRPr="00C60407">
      <w:rPr>
        <w:rFonts w:ascii="Helvetica" w:eastAsia="Arial Unicode MS" w:hAnsi="Helvetica" w:cs="Arial Unicode MS"/>
        <w:color w:val="000000"/>
        <w:sz w:val="20"/>
        <w:szCs w:val="20"/>
        <w:bdr w:val="nil"/>
        <w:lang w:eastAsia="en-CA"/>
      </w:rPr>
      <w:instrText xml:space="preserve"> PAGE   \* MERGEFORMAT </w:instrText>
    </w:r>
    <w:r w:rsidR="00C62AE5" w:rsidRPr="00C60407">
      <w:rPr>
        <w:rFonts w:ascii="Helvetica" w:eastAsia="Arial Unicode MS" w:hAnsi="Helvetica" w:cs="Arial Unicode MS"/>
        <w:color w:val="000000"/>
        <w:sz w:val="20"/>
        <w:szCs w:val="20"/>
        <w:bdr w:val="nil"/>
        <w:lang w:eastAsia="en-CA"/>
      </w:rPr>
      <w:fldChar w:fldCharType="separate"/>
    </w:r>
    <w:r w:rsidR="00C62AE5" w:rsidRPr="00C60407">
      <w:rPr>
        <w:rFonts w:ascii="Helvetica" w:eastAsia="Arial Unicode MS" w:hAnsi="Helvetica" w:cs="Arial Unicode MS"/>
        <w:color w:val="000000"/>
        <w:sz w:val="20"/>
        <w:szCs w:val="20"/>
        <w:bdr w:val="nil"/>
        <w:lang w:eastAsia="en-CA"/>
      </w:rPr>
      <w:t>ii</w:t>
    </w:r>
    <w:r w:rsidR="00C62AE5" w:rsidRPr="00C6040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8DB4D" w14:textId="77777777" w:rsidR="00681747" w:rsidRDefault="00681747" w:rsidP="00AE0465">
      <w:pPr>
        <w:spacing w:after="0" w:line="240" w:lineRule="auto"/>
      </w:pPr>
      <w:r>
        <w:separator/>
      </w:r>
    </w:p>
  </w:footnote>
  <w:footnote w:type="continuationSeparator" w:id="0">
    <w:p w14:paraId="42A79978" w14:textId="77777777" w:rsidR="00681747" w:rsidRDefault="00681747"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D049169" w:rsidR="00EE0B3C" w:rsidRDefault="00CC5C56" w:rsidP="00CC5C56">
    <w:pPr>
      <w:pStyle w:val="Header"/>
      <w:ind w:hanging="567"/>
    </w:pPr>
    <w:r>
      <w:rPr>
        <w:noProof/>
      </w:rPr>
      <w:drawing>
        <wp:inline distT="0" distB="0" distL="0" distR="0" wp14:anchorId="434B412F" wp14:editId="39109253">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28525DC5" w:rsidR="00EE0B3C" w:rsidRDefault="00CC5C56" w:rsidP="00CC5C56">
    <w:pPr>
      <w:pStyle w:val="Header"/>
      <w:ind w:hanging="567"/>
    </w:pPr>
    <w:r>
      <w:rPr>
        <w:noProof/>
      </w:rPr>
      <w:drawing>
        <wp:inline distT="0" distB="0" distL="0" distR="0" wp14:anchorId="7AE41C44" wp14:editId="1C1D4468">
          <wp:extent cx="1371600" cy="340555"/>
          <wp:effectExtent l="0" t="0" r="0" b="2540"/>
          <wp:docPr id="22" name="Picture 2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A1D"/>
    <w:multiLevelType w:val="hybridMultilevel"/>
    <w:tmpl w:val="E3F601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F182E"/>
    <w:multiLevelType w:val="multilevel"/>
    <w:tmpl w:val="B2422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92F7DF3"/>
    <w:multiLevelType w:val="hybridMultilevel"/>
    <w:tmpl w:val="59B626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4" w15:restartNumberingAfterBreak="0">
    <w:nsid w:val="0CBB1B17"/>
    <w:multiLevelType w:val="multilevel"/>
    <w:tmpl w:val="063C91D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1A57B0"/>
    <w:multiLevelType w:val="hybridMultilevel"/>
    <w:tmpl w:val="7094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D3878"/>
    <w:multiLevelType w:val="hybridMultilevel"/>
    <w:tmpl w:val="1038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956BE"/>
    <w:multiLevelType w:val="multilevel"/>
    <w:tmpl w:val="019ABDC0"/>
    <w:lvl w:ilvl="0">
      <w:start w:val="2"/>
      <w:numFmt w:val="decimal"/>
      <w:lvlText w:val="%1"/>
      <w:lvlJc w:val="left"/>
      <w:pPr>
        <w:ind w:left="375" w:hanging="375"/>
      </w:pPr>
      <w:rPr>
        <w:rFonts w:hint="default"/>
      </w:rPr>
    </w:lvl>
    <w:lvl w:ilvl="1">
      <w:start w:val="1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23539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 w15:restartNumberingAfterBreak="0">
    <w:nsid w:val="281859D7"/>
    <w:multiLevelType w:val="multilevel"/>
    <w:tmpl w:val="BAB07144"/>
    <w:lvl w:ilvl="0">
      <w:start w:val="3"/>
      <w:numFmt w:val="decimal"/>
      <w:lvlText w:val="%1.0"/>
      <w:lvlJc w:val="left"/>
      <w:pPr>
        <w:ind w:left="-3" w:hanging="360"/>
      </w:pPr>
      <w:rPr>
        <w:rFonts w:hint="default"/>
      </w:rPr>
    </w:lvl>
    <w:lvl w:ilvl="1">
      <w:start w:val="1"/>
      <w:numFmt w:val="decimal"/>
      <w:lvlText w:val="%1.%2"/>
      <w:lvlJc w:val="left"/>
      <w:pPr>
        <w:ind w:left="717" w:hanging="360"/>
      </w:pPr>
      <w:rPr>
        <w:rFonts w:hint="default"/>
        <w:b w:val="0"/>
        <w:bCs w:val="0"/>
        <w:sz w:val="22"/>
        <w:szCs w:val="22"/>
      </w:rPr>
    </w:lvl>
    <w:lvl w:ilvl="2">
      <w:start w:val="1"/>
      <w:numFmt w:val="decimal"/>
      <w:lvlText w:val="%1.%2.%3"/>
      <w:lvlJc w:val="left"/>
      <w:pPr>
        <w:ind w:left="1797" w:hanging="720"/>
      </w:pPr>
      <w:rPr>
        <w:rFonts w:hint="default"/>
      </w:rPr>
    </w:lvl>
    <w:lvl w:ilvl="3">
      <w:start w:val="1"/>
      <w:numFmt w:val="decimal"/>
      <w:lvlText w:val="%1.%2.%3.%4"/>
      <w:lvlJc w:val="left"/>
      <w:pPr>
        <w:ind w:left="2517" w:hanging="720"/>
      </w:pPr>
      <w:rPr>
        <w:rFonts w:hint="default"/>
      </w:rPr>
    </w:lvl>
    <w:lvl w:ilvl="4">
      <w:start w:val="1"/>
      <w:numFmt w:val="decimal"/>
      <w:lvlText w:val="%1.%2.%3.%4.%5"/>
      <w:lvlJc w:val="left"/>
      <w:pPr>
        <w:ind w:left="3597" w:hanging="1080"/>
      </w:pPr>
      <w:rPr>
        <w:rFonts w:hint="default"/>
      </w:rPr>
    </w:lvl>
    <w:lvl w:ilvl="5">
      <w:start w:val="1"/>
      <w:numFmt w:val="decimal"/>
      <w:lvlText w:val="%1.%2.%3.%4.%5.%6"/>
      <w:lvlJc w:val="left"/>
      <w:pPr>
        <w:ind w:left="4317" w:hanging="1080"/>
      </w:pPr>
      <w:rPr>
        <w:rFonts w:hint="default"/>
      </w:rPr>
    </w:lvl>
    <w:lvl w:ilvl="6">
      <w:start w:val="1"/>
      <w:numFmt w:val="decimal"/>
      <w:lvlText w:val="%1.%2.%3.%4.%5.%6.%7"/>
      <w:lvlJc w:val="left"/>
      <w:pPr>
        <w:ind w:left="5397" w:hanging="1440"/>
      </w:pPr>
      <w:rPr>
        <w:rFonts w:hint="default"/>
      </w:rPr>
    </w:lvl>
    <w:lvl w:ilvl="7">
      <w:start w:val="1"/>
      <w:numFmt w:val="decimal"/>
      <w:lvlText w:val="%1.%2.%3.%4.%5.%6.%7.%8"/>
      <w:lvlJc w:val="left"/>
      <w:pPr>
        <w:ind w:left="6117" w:hanging="1440"/>
      </w:pPr>
      <w:rPr>
        <w:rFonts w:hint="default"/>
      </w:rPr>
    </w:lvl>
    <w:lvl w:ilvl="8">
      <w:start w:val="1"/>
      <w:numFmt w:val="decimal"/>
      <w:lvlText w:val="%1.%2.%3.%4.%5.%6.%7.%8.%9"/>
      <w:lvlJc w:val="left"/>
      <w:pPr>
        <w:ind w:left="7197" w:hanging="1800"/>
      </w:pPr>
      <w:rPr>
        <w:rFonts w:hint="default"/>
      </w:rPr>
    </w:lvl>
  </w:abstractNum>
  <w:abstractNum w:abstractNumId="13" w15:restartNumberingAfterBreak="0">
    <w:nsid w:val="38C06AB6"/>
    <w:multiLevelType w:val="hybridMultilevel"/>
    <w:tmpl w:val="B3BE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2656C"/>
    <w:multiLevelType w:val="multilevel"/>
    <w:tmpl w:val="4560C5C4"/>
    <w:lvl w:ilvl="0">
      <w:start w:val="2"/>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C90FB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5C0687A"/>
    <w:multiLevelType w:val="hybridMultilevel"/>
    <w:tmpl w:val="D408E6F6"/>
    <w:lvl w:ilvl="0" w:tplc="2646AAD4">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6EB37B0"/>
    <w:multiLevelType w:val="multilevel"/>
    <w:tmpl w:val="458CA33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8E2216B"/>
    <w:multiLevelType w:val="multilevel"/>
    <w:tmpl w:val="6BC855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63777E"/>
    <w:multiLevelType w:val="multilevel"/>
    <w:tmpl w:val="83E450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196E51"/>
    <w:multiLevelType w:val="multilevel"/>
    <w:tmpl w:val="C9D6B552"/>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1EF53DB"/>
    <w:multiLevelType w:val="multilevel"/>
    <w:tmpl w:val="83E450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03560A"/>
    <w:multiLevelType w:val="multilevel"/>
    <w:tmpl w:val="83E450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55230F"/>
    <w:multiLevelType w:val="multilevel"/>
    <w:tmpl w:val="83E450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D24CC1"/>
    <w:multiLevelType w:val="hybridMultilevel"/>
    <w:tmpl w:val="927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A22146"/>
    <w:multiLevelType w:val="multilevel"/>
    <w:tmpl w:val="C9D6B552"/>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43452975">
    <w:abstractNumId w:val="18"/>
  </w:num>
  <w:num w:numId="2" w16cid:durableId="501969670">
    <w:abstractNumId w:val="3"/>
  </w:num>
  <w:num w:numId="3" w16cid:durableId="28185750">
    <w:abstractNumId w:val="14"/>
  </w:num>
  <w:num w:numId="4" w16cid:durableId="2109157049">
    <w:abstractNumId w:val="11"/>
  </w:num>
  <w:num w:numId="5" w16cid:durableId="1074862431">
    <w:abstractNumId w:val="28"/>
  </w:num>
  <w:num w:numId="6" w16cid:durableId="1498766420">
    <w:abstractNumId w:val="10"/>
  </w:num>
  <w:num w:numId="7" w16cid:durableId="2089762845">
    <w:abstractNumId w:val="16"/>
  </w:num>
  <w:num w:numId="8" w16cid:durableId="2064013726">
    <w:abstractNumId w:val="5"/>
  </w:num>
  <w:num w:numId="9" w16cid:durableId="701133418">
    <w:abstractNumId w:val="19"/>
  </w:num>
  <w:num w:numId="10" w16cid:durableId="204634465">
    <w:abstractNumId w:val="20"/>
  </w:num>
  <w:num w:numId="11" w16cid:durableId="489902883">
    <w:abstractNumId w:val="4"/>
  </w:num>
  <w:num w:numId="12" w16cid:durableId="2100515268">
    <w:abstractNumId w:val="6"/>
  </w:num>
  <w:num w:numId="13" w16cid:durableId="1648244723">
    <w:abstractNumId w:val="7"/>
  </w:num>
  <w:num w:numId="14" w16cid:durableId="492260107">
    <w:abstractNumId w:val="13"/>
  </w:num>
  <w:num w:numId="15" w16cid:durableId="2138797732">
    <w:abstractNumId w:val="27"/>
  </w:num>
  <w:num w:numId="16" w16cid:durableId="109931704">
    <w:abstractNumId w:val="21"/>
  </w:num>
  <w:num w:numId="17" w16cid:durableId="1483696414">
    <w:abstractNumId w:val="1"/>
  </w:num>
  <w:num w:numId="18" w16cid:durableId="693380299">
    <w:abstractNumId w:val="2"/>
  </w:num>
  <w:num w:numId="19" w16cid:durableId="869151355">
    <w:abstractNumId w:val="0"/>
  </w:num>
  <w:num w:numId="20" w16cid:durableId="484787197">
    <w:abstractNumId w:val="23"/>
  </w:num>
  <w:num w:numId="21" w16cid:durableId="837042626">
    <w:abstractNumId w:val="8"/>
  </w:num>
  <w:num w:numId="22" w16cid:durableId="1665551411">
    <w:abstractNumId w:val="29"/>
  </w:num>
  <w:num w:numId="23" w16cid:durableId="874466900">
    <w:abstractNumId w:val="15"/>
  </w:num>
  <w:num w:numId="24" w16cid:durableId="1474978233">
    <w:abstractNumId w:val="12"/>
  </w:num>
  <w:num w:numId="25" w16cid:durableId="1592860963">
    <w:abstractNumId w:val="17"/>
  </w:num>
  <w:num w:numId="26" w16cid:durableId="1554736166">
    <w:abstractNumId w:val="9"/>
  </w:num>
  <w:num w:numId="27" w16cid:durableId="1763405302">
    <w:abstractNumId w:val="24"/>
  </w:num>
  <w:num w:numId="28" w16cid:durableId="1547523883">
    <w:abstractNumId w:val="25"/>
  </w:num>
  <w:num w:numId="29" w16cid:durableId="966619333">
    <w:abstractNumId w:val="22"/>
  </w:num>
  <w:num w:numId="30" w16cid:durableId="6133700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178F"/>
    <w:rsid w:val="000107C2"/>
    <w:rsid w:val="00017B53"/>
    <w:rsid w:val="000533DE"/>
    <w:rsid w:val="00073D6D"/>
    <w:rsid w:val="000D6161"/>
    <w:rsid w:val="00130ED2"/>
    <w:rsid w:val="00182502"/>
    <w:rsid w:val="001976C9"/>
    <w:rsid w:val="001A585D"/>
    <w:rsid w:val="001D5C39"/>
    <w:rsid w:val="001F5D0D"/>
    <w:rsid w:val="002428F4"/>
    <w:rsid w:val="002502B6"/>
    <w:rsid w:val="002635C7"/>
    <w:rsid w:val="002813F1"/>
    <w:rsid w:val="00294333"/>
    <w:rsid w:val="002A1D08"/>
    <w:rsid w:val="002A52BC"/>
    <w:rsid w:val="002D72A9"/>
    <w:rsid w:val="00312A74"/>
    <w:rsid w:val="003F721F"/>
    <w:rsid w:val="004445C1"/>
    <w:rsid w:val="004642EC"/>
    <w:rsid w:val="00486FC7"/>
    <w:rsid w:val="00594EF1"/>
    <w:rsid w:val="005A054A"/>
    <w:rsid w:val="005B6768"/>
    <w:rsid w:val="005D778C"/>
    <w:rsid w:val="006009DE"/>
    <w:rsid w:val="00636B58"/>
    <w:rsid w:val="00664CBD"/>
    <w:rsid w:val="0067358A"/>
    <w:rsid w:val="00681747"/>
    <w:rsid w:val="006A78E4"/>
    <w:rsid w:val="006C62B9"/>
    <w:rsid w:val="006D235B"/>
    <w:rsid w:val="006E2B2C"/>
    <w:rsid w:val="007477F5"/>
    <w:rsid w:val="00751147"/>
    <w:rsid w:val="00793BEC"/>
    <w:rsid w:val="007F16AF"/>
    <w:rsid w:val="00823A04"/>
    <w:rsid w:val="008308F6"/>
    <w:rsid w:val="008E5A98"/>
    <w:rsid w:val="008F34E0"/>
    <w:rsid w:val="00912D50"/>
    <w:rsid w:val="009635BE"/>
    <w:rsid w:val="0098192A"/>
    <w:rsid w:val="009B6E2B"/>
    <w:rsid w:val="009F256B"/>
    <w:rsid w:val="009F5705"/>
    <w:rsid w:val="00A24E47"/>
    <w:rsid w:val="00A769C3"/>
    <w:rsid w:val="00AE0465"/>
    <w:rsid w:val="00B64541"/>
    <w:rsid w:val="00B64BFF"/>
    <w:rsid w:val="00B6545E"/>
    <w:rsid w:val="00B83E08"/>
    <w:rsid w:val="00BF5E67"/>
    <w:rsid w:val="00C125CD"/>
    <w:rsid w:val="00C51349"/>
    <w:rsid w:val="00C54626"/>
    <w:rsid w:val="00C60407"/>
    <w:rsid w:val="00C62AE5"/>
    <w:rsid w:val="00C857ED"/>
    <w:rsid w:val="00CC5C56"/>
    <w:rsid w:val="00CD35EE"/>
    <w:rsid w:val="00CD6218"/>
    <w:rsid w:val="00CF08A7"/>
    <w:rsid w:val="00DE4E78"/>
    <w:rsid w:val="00DF0927"/>
    <w:rsid w:val="00E22C5E"/>
    <w:rsid w:val="00EB4543"/>
    <w:rsid w:val="00F757B3"/>
    <w:rsid w:val="00F823E9"/>
    <w:rsid w:val="00FA270E"/>
    <w:rsid w:val="00FB37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010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C2"/>
    <w:rPr>
      <w:rFonts w:ascii="Segoe UI" w:hAnsi="Segoe UI" w:cs="Segoe UI"/>
      <w:sz w:val="18"/>
      <w:szCs w:val="18"/>
      <w:lang w:val="en-US"/>
    </w:rPr>
  </w:style>
  <w:style w:type="paragraph" w:customStyle="1" w:styleId="Body">
    <w:name w:val="Body"/>
    <w:rsid w:val="009F256B"/>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C51349"/>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C51349"/>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C6040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C6040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C6040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C6040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C6040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B49A1-A76D-470F-A0C8-68DAB34ECC8E}"/>
</file>

<file path=customXml/itemProps2.xml><?xml version="1.0" encoding="utf-8"?>
<ds:datastoreItem xmlns:ds="http://schemas.openxmlformats.org/officeDocument/2006/customXml" ds:itemID="{D9C7EA4F-E1EB-4B3A-AE85-44A6454BCFF8}">
  <ds:schemaRefs>
    <ds:schemaRef ds:uri="http://schemas.openxmlformats.org/officeDocument/2006/bibliography"/>
  </ds:schemaRefs>
</ds:datastoreItem>
</file>

<file path=customXml/itemProps3.xml><?xml version="1.0" encoding="utf-8"?>
<ds:datastoreItem xmlns:ds="http://schemas.openxmlformats.org/officeDocument/2006/customXml" ds:itemID="{1B1D3A6C-45A1-4DD8-A8C1-05DBE95256A1}">
  <ds:schemaRefs>
    <ds:schemaRef ds:uri="http://schemas.microsoft.com/sharepoint/v3/contenttype/forms"/>
  </ds:schemaRefs>
</ds:datastoreItem>
</file>

<file path=customXml/itemProps4.xml><?xml version="1.0" encoding="utf-8"?>
<ds:datastoreItem xmlns:ds="http://schemas.openxmlformats.org/officeDocument/2006/customXml" ds:itemID="{ED156A5C-A1A3-4D55-B633-B3FE90509B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20</cp:revision>
  <cp:lastPrinted>2020-12-09T20:00:00Z</cp:lastPrinted>
  <dcterms:created xsi:type="dcterms:W3CDTF">2022-02-16T19:19:00Z</dcterms:created>
  <dcterms:modified xsi:type="dcterms:W3CDTF">2022-11-24T18:22:00Z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