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C58B" w14:textId="77777777" w:rsidR="0029013E" w:rsidRDefault="0029013E" w:rsidP="0029013E">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2078506C" wp14:editId="42B1FA6E">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2D48C538" w14:textId="4D532788" w:rsidR="0029013E" w:rsidRDefault="0029013E" w:rsidP="0029013E">
                            <w:pPr>
                              <w:pStyle w:val="Body"/>
                              <w:rPr>
                                <w:rFonts w:ascii="Helvetica Neue Medium" w:eastAsia="Helvetica Neue Medium" w:hAnsi="Helvetica Neue Medium" w:cs="Helvetica Neue Medium"/>
                                <w:color w:val="FFFFFF"/>
                                <w:sz w:val="50"/>
                                <w:szCs w:val="50"/>
                                <w:u w:color="FFFFFF"/>
                              </w:rPr>
                            </w:pPr>
                            <w:r w:rsidRPr="0029013E">
                              <w:rPr>
                                <w:rFonts w:ascii="Helvetica Neue Medium" w:hAnsi="Helvetica Neue Medium"/>
                                <w:color w:val="FFFFFF"/>
                                <w:sz w:val="58"/>
                                <w:szCs w:val="58"/>
                                <w:u w:color="FFFFFF"/>
                              </w:rPr>
                              <w:t>IT108 - Virus and Malware Protection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2078506C"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2D48C538" w14:textId="4D532788" w:rsidR="0029013E" w:rsidRDefault="0029013E" w:rsidP="0029013E">
                      <w:pPr>
                        <w:pStyle w:val="Body"/>
                        <w:rPr>
                          <w:rFonts w:ascii="Helvetica Neue Medium" w:eastAsia="Helvetica Neue Medium" w:hAnsi="Helvetica Neue Medium" w:cs="Helvetica Neue Medium"/>
                          <w:color w:val="FFFFFF"/>
                          <w:sz w:val="50"/>
                          <w:szCs w:val="50"/>
                          <w:u w:color="FFFFFF"/>
                        </w:rPr>
                      </w:pPr>
                      <w:r w:rsidRPr="0029013E">
                        <w:rPr>
                          <w:rFonts w:ascii="Helvetica Neue Medium" w:hAnsi="Helvetica Neue Medium"/>
                          <w:color w:val="FFFFFF"/>
                          <w:sz w:val="58"/>
                          <w:szCs w:val="58"/>
                          <w:u w:color="FFFFFF"/>
                        </w:rPr>
                        <w:t>IT108 - Virus and Malware Protection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40E11478" wp14:editId="15DB1683">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29013E" w:rsidRPr="007C4040" w14:paraId="5B4F1A5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BC2CAB0" w14:textId="77777777" w:rsidR="0029013E" w:rsidRPr="007C4040" w:rsidRDefault="0029013E"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5AE69781" w14:textId="77777777" w:rsidR="0029013E" w:rsidRPr="007C4040" w:rsidRDefault="0029013E" w:rsidP="007C4040">
                                  <w:pPr>
                                    <w:pStyle w:val="S-Frontpage"/>
                                    <w:rPr>
                                      <w:rFonts w:hint="eastAsia"/>
                                      <w:sz w:val="20"/>
                                      <w:szCs w:val="20"/>
                                    </w:rPr>
                                  </w:pPr>
                                  <w:r w:rsidRPr="007C4040">
                                    <w:rPr>
                                      <w:sz w:val="20"/>
                                      <w:szCs w:val="20"/>
                                    </w:rPr>
                                    <w:t>Final</w:t>
                                  </w:r>
                                </w:p>
                              </w:tc>
                            </w:tr>
                            <w:tr w:rsidR="0029013E" w:rsidRPr="007C4040" w14:paraId="29D6992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4B2335B" w14:textId="77777777" w:rsidR="0029013E" w:rsidRPr="007C4040" w:rsidRDefault="0029013E"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368E2EE" w14:textId="3B8E6537" w:rsidR="0029013E" w:rsidRPr="007C4040" w:rsidRDefault="0029013E" w:rsidP="007C4040">
                                  <w:pPr>
                                    <w:pStyle w:val="S-Frontpage"/>
                                    <w:rPr>
                                      <w:rFonts w:hint="eastAsia"/>
                                      <w:sz w:val="20"/>
                                      <w:szCs w:val="20"/>
                                    </w:rPr>
                                  </w:pPr>
                                  <w:r w:rsidRPr="007C4040">
                                    <w:rPr>
                                      <w:sz w:val="20"/>
                                      <w:szCs w:val="20"/>
                                    </w:rPr>
                                    <w:t>1.</w:t>
                                  </w:r>
                                  <w:r w:rsidR="00044E4E">
                                    <w:rPr>
                                      <w:sz w:val="20"/>
                                      <w:szCs w:val="20"/>
                                    </w:rPr>
                                    <w:t>11</w:t>
                                  </w:r>
                                </w:p>
                              </w:tc>
                            </w:tr>
                            <w:tr w:rsidR="0029013E" w:rsidRPr="007C4040" w14:paraId="04EFDD1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8BD6A92" w14:textId="77777777" w:rsidR="0029013E" w:rsidRPr="007C4040" w:rsidRDefault="0029013E"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5AE25E1" w14:textId="77777777" w:rsidR="0029013E" w:rsidRPr="007C4040" w:rsidRDefault="0029013E" w:rsidP="007C4040">
                                  <w:pPr>
                                    <w:pStyle w:val="S-Frontpage"/>
                                    <w:rPr>
                                      <w:rFonts w:hint="eastAsia"/>
                                      <w:sz w:val="20"/>
                                      <w:szCs w:val="20"/>
                                    </w:rPr>
                                  </w:pPr>
                                  <w:r w:rsidRPr="007C4040">
                                    <w:rPr>
                                      <w:sz w:val="20"/>
                                      <w:szCs w:val="20"/>
                                    </w:rPr>
                                    <w:t>Confidential</w:t>
                                  </w:r>
                                </w:p>
                              </w:tc>
                            </w:tr>
                            <w:tr w:rsidR="0029013E" w:rsidRPr="007C4040" w14:paraId="0FD0431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1027A1B" w14:textId="77777777" w:rsidR="0029013E" w:rsidRPr="007C4040" w:rsidRDefault="0029013E"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71305BF" w14:textId="77777777" w:rsidR="0029013E" w:rsidRPr="007C4040" w:rsidRDefault="0029013E"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29013E" w:rsidRPr="007C4040" w14:paraId="73CD84BD"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43AB5C7E" w14:textId="77777777" w:rsidR="0029013E" w:rsidRPr="007C4040" w:rsidRDefault="0029013E"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20082704" w14:textId="77777777" w:rsidR="0029013E" w:rsidRPr="007C4040" w:rsidRDefault="0029013E" w:rsidP="007C4040">
                                  <w:pPr>
                                    <w:pStyle w:val="S-Frontpage"/>
                                    <w:rPr>
                                      <w:rFonts w:hint="eastAsia"/>
                                      <w:sz w:val="20"/>
                                      <w:szCs w:val="20"/>
                                    </w:rPr>
                                  </w:pPr>
                                  <w:r w:rsidRPr="007C4040">
                                    <w:rPr>
                                      <w:sz w:val="20"/>
                                      <w:szCs w:val="20"/>
                                    </w:rPr>
                                    <w:t>1705 Tech Avenue, Unit 3, Mississauga, ON, L4W 0A2, Canada</w:t>
                                  </w:r>
                                </w:p>
                              </w:tc>
                            </w:tr>
                          </w:tbl>
                          <w:p w14:paraId="2E6A4105" w14:textId="77777777" w:rsidR="0029013E" w:rsidRPr="007C4040" w:rsidRDefault="0029013E" w:rsidP="0029013E">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40E11478"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29013E" w:rsidRPr="007C4040" w14:paraId="5B4F1A5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BC2CAB0" w14:textId="77777777" w:rsidR="0029013E" w:rsidRPr="007C4040" w:rsidRDefault="0029013E"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5AE69781" w14:textId="77777777" w:rsidR="0029013E" w:rsidRPr="007C4040" w:rsidRDefault="0029013E" w:rsidP="007C4040">
                            <w:pPr>
                              <w:pStyle w:val="S-Frontpage"/>
                              <w:rPr>
                                <w:rFonts w:hint="eastAsia"/>
                                <w:sz w:val="20"/>
                                <w:szCs w:val="20"/>
                              </w:rPr>
                            </w:pPr>
                            <w:r w:rsidRPr="007C4040">
                              <w:rPr>
                                <w:sz w:val="20"/>
                                <w:szCs w:val="20"/>
                              </w:rPr>
                              <w:t>Final</w:t>
                            </w:r>
                          </w:p>
                        </w:tc>
                      </w:tr>
                      <w:tr w:rsidR="0029013E" w:rsidRPr="007C4040" w14:paraId="29D6992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4B2335B" w14:textId="77777777" w:rsidR="0029013E" w:rsidRPr="007C4040" w:rsidRDefault="0029013E"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368E2EE" w14:textId="3B8E6537" w:rsidR="0029013E" w:rsidRPr="007C4040" w:rsidRDefault="0029013E" w:rsidP="007C4040">
                            <w:pPr>
                              <w:pStyle w:val="S-Frontpage"/>
                              <w:rPr>
                                <w:rFonts w:hint="eastAsia"/>
                                <w:sz w:val="20"/>
                                <w:szCs w:val="20"/>
                              </w:rPr>
                            </w:pPr>
                            <w:r w:rsidRPr="007C4040">
                              <w:rPr>
                                <w:sz w:val="20"/>
                                <w:szCs w:val="20"/>
                              </w:rPr>
                              <w:t>1.</w:t>
                            </w:r>
                            <w:r w:rsidR="00044E4E">
                              <w:rPr>
                                <w:sz w:val="20"/>
                                <w:szCs w:val="20"/>
                              </w:rPr>
                              <w:t>11</w:t>
                            </w:r>
                          </w:p>
                        </w:tc>
                      </w:tr>
                      <w:tr w:rsidR="0029013E" w:rsidRPr="007C4040" w14:paraId="04EFDD1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8BD6A92" w14:textId="77777777" w:rsidR="0029013E" w:rsidRPr="007C4040" w:rsidRDefault="0029013E"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5AE25E1" w14:textId="77777777" w:rsidR="0029013E" w:rsidRPr="007C4040" w:rsidRDefault="0029013E" w:rsidP="007C4040">
                            <w:pPr>
                              <w:pStyle w:val="S-Frontpage"/>
                              <w:rPr>
                                <w:rFonts w:hint="eastAsia"/>
                                <w:sz w:val="20"/>
                                <w:szCs w:val="20"/>
                              </w:rPr>
                            </w:pPr>
                            <w:r w:rsidRPr="007C4040">
                              <w:rPr>
                                <w:sz w:val="20"/>
                                <w:szCs w:val="20"/>
                              </w:rPr>
                              <w:t>Confidential</w:t>
                            </w:r>
                          </w:p>
                        </w:tc>
                      </w:tr>
                      <w:tr w:rsidR="0029013E" w:rsidRPr="007C4040" w14:paraId="0FD0431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1027A1B" w14:textId="77777777" w:rsidR="0029013E" w:rsidRPr="007C4040" w:rsidRDefault="0029013E"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571305BF" w14:textId="77777777" w:rsidR="0029013E" w:rsidRPr="007C4040" w:rsidRDefault="0029013E"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29013E" w:rsidRPr="007C4040" w14:paraId="73CD84BD"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43AB5C7E" w14:textId="77777777" w:rsidR="0029013E" w:rsidRPr="007C4040" w:rsidRDefault="0029013E"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20082704" w14:textId="77777777" w:rsidR="0029013E" w:rsidRPr="007C4040" w:rsidRDefault="0029013E" w:rsidP="007C4040">
                            <w:pPr>
                              <w:pStyle w:val="S-Frontpage"/>
                              <w:rPr>
                                <w:rFonts w:hint="eastAsia"/>
                                <w:sz w:val="20"/>
                                <w:szCs w:val="20"/>
                              </w:rPr>
                            </w:pPr>
                            <w:r w:rsidRPr="007C4040">
                              <w:rPr>
                                <w:sz w:val="20"/>
                                <w:szCs w:val="20"/>
                              </w:rPr>
                              <w:t>1705 Tech Avenue, Unit 3, Mississauga, ON, L4W 0A2, Canada</w:t>
                            </w:r>
                          </w:p>
                        </w:tc>
                      </w:tr>
                    </w:tbl>
                    <w:p w14:paraId="2E6A4105" w14:textId="77777777" w:rsidR="0029013E" w:rsidRPr="007C4040" w:rsidRDefault="0029013E" w:rsidP="0029013E">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10FB6E0B" wp14:editId="18B9564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19303ADD" wp14:editId="6A4EEBED">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0B206A63"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70BDD36A" wp14:editId="3D646E10">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5408F5CB" w14:textId="77777777" w:rsidR="0029013E" w:rsidRDefault="0029013E" w:rsidP="0029013E">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70BDD36A"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5408F5CB" w14:textId="77777777" w:rsidR="0029013E" w:rsidRDefault="0029013E" w:rsidP="0029013E">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3191CF1B" w14:textId="3DAB1DD0" w:rsidR="00AE0465" w:rsidRDefault="00AE0465" w:rsidP="00AE0465">
      <w:pPr>
        <w:pStyle w:val="DocumentTitle"/>
        <w:keepLines/>
        <w:rPr>
          <w:sz w:val="70"/>
          <w:szCs w:val="70"/>
        </w:rPr>
      </w:pPr>
    </w:p>
    <w:p w14:paraId="2A53576C" w14:textId="77777777" w:rsidR="00696DA3" w:rsidRDefault="00696DA3" w:rsidP="00AE0465"/>
    <w:p w14:paraId="1E3C5CA2" w14:textId="23E0E083" w:rsidR="00AE0465" w:rsidRDefault="00AE0465" w:rsidP="00AE0465"/>
    <w:p w14:paraId="0511B48C" w14:textId="434F92DD" w:rsidR="00E22C5E" w:rsidRDefault="00E22C5E" w:rsidP="00AE0465"/>
    <w:p w14:paraId="5EC1F3E3" w14:textId="51B62FDE" w:rsidR="00696DA3" w:rsidRDefault="00696DA3" w:rsidP="00AE0465"/>
    <w:p w14:paraId="555740C6" w14:textId="77777777" w:rsidR="00696DA3" w:rsidRDefault="00696DA3" w:rsidP="00AE0465"/>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1710B151" w14:textId="7F80598A" w:rsidR="00C125CD" w:rsidRPr="00222C85" w:rsidRDefault="00AE0465" w:rsidP="00C125CD">
          <w:pPr>
            <w:pStyle w:val="TOC1"/>
            <w:tabs>
              <w:tab w:val="right" w:leader="dot" w:pos="9350"/>
            </w:tabs>
            <w:spacing w:after="240"/>
            <w:rPr>
              <w:rFonts w:eastAsiaTheme="minorEastAsia"/>
              <w:noProof/>
              <w:sz w:val="24"/>
              <w:szCs w:val="24"/>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23349323" w:history="1">
            <w:r w:rsidR="00C125CD" w:rsidRPr="00222C85">
              <w:rPr>
                <w:rStyle w:val="Hyperlink"/>
                <w:noProof/>
                <w:sz w:val="24"/>
                <w:szCs w:val="24"/>
              </w:rPr>
              <w:t>Document Control</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_Toc23349323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iii</w:t>
            </w:r>
            <w:r w:rsidR="00C125CD" w:rsidRPr="00222C85">
              <w:rPr>
                <w:noProof/>
                <w:webHidden/>
                <w:sz w:val="24"/>
                <w:szCs w:val="24"/>
              </w:rPr>
              <w:fldChar w:fldCharType="end"/>
            </w:r>
          </w:hyperlink>
        </w:p>
        <w:p w14:paraId="766F2ED7" w14:textId="4224469D" w:rsidR="00C125CD" w:rsidRPr="00222C85" w:rsidRDefault="006D3875" w:rsidP="00C125CD">
          <w:pPr>
            <w:pStyle w:val="TOC1"/>
            <w:tabs>
              <w:tab w:val="right" w:leader="dot" w:pos="9350"/>
            </w:tabs>
            <w:spacing w:after="240"/>
            <w:rPr>
              <w:rFonts w:eastAsiaTheme="minorEastAsia"/>
              <w:noProof/>
              <w:sz w:val="24"/>
              <w:szCs w:val="24"/>
              <w:lang w:val="en-CA" w:eastAsia="en-CA"/>
            </w:rPr>
          </w:pPr>
          <w:hyperlink w:anchor="_Toc23349324" w:history="1">
            <w:r w:rsidR="00C125CD" w:rsidRPr="00222C85">
              <w:rPr>
                <w:rStyle w:val="Hyperlink"/>
                <w:noProof/>
                <w:sz w:val="24"/>
                <w:szCs w:val="24"/>
              </w:rPr>
              <w:t>Introduction</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_Toc23349324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4</w:t>
            </w:r>
            <w:r w:rsidR="00C125CD" w:rsidRPr="00222C85">
              <w:rPr>
                <w:noProof/>
                <w:webHidden/>
                <w:sz w:val="24"/>
                <w:szCs w:val="24"/>
              </w:rPr>
              <w:fldChar w:fldCharType="end"/>
            </w:r>
          </w:hyperlink>
        </w:p>
        <w:p w14:paraId="2264D3B6" w14:textId="4F77A5E8" w:rsidR="00C125CD" w:rsidRPr="00222C85" w:rsidRDefault="006D3875" w:rsidP="00C125CD">
          <w:pPr>
            <w:pStyle w:val="TOC1"/>
            <w:tabs>
              <w:tab w:val="right" w:leader="dot" w:pos="9350"/>
            </w:tabs>
            <w:spacing w:after="240"/>
            <w:rPr>
              <w:rFonts w:eastAsiaTheme="minorEastAsia"/>
              <w:noProof/>
              <w:sz w:val="24"/>
              <w:szCs w:val="24"/>
              <w:lang w:val="en-CA" w:eastAsia="en-CA"/>
            </w:rPr>
          </w:pPr>
          <w:hyperlink w:anchor="_Toc23349325" w:history="1">
            <w:r w:rsidR="00C125CD" w:rsidRPr="00222C85">
              <w:rPr>
                <w:rStyle w:val="Hyperlink"/>
                <w:noProof/>
                <w:sz w:val="24"/>
                <w:szCs w:val="24"/>
              </w:rPr>
              <w:t>Purpose</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_Toc23349325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4</w:t>
            </w:r>
            <w:r w:rsidR="00C125CD" w:rsidRPr="00222C85">
              <w:rPr>
                <w:noProof/>
                <w:webHidden/>
                <w:sz w:val="24"/>
                <w:szCs w:val="24"/>
              </w:rPr>
              <w:fldChar w:fldCharType="end"/>
            </w:r>
          </w:hyperlink>
        </w:p>
        <w:p w14:paraId="111AAC49" w14:textId="6217A3FC" w:rsidR="00C125CD" w:rsidRPr="00222C85" w:rsidRDefault="006D3875" w:rsidP="00C125CD">
          <w:pPr>
            <w:pStyle w:val="TOC1"/>
            <w:tabs>
              <w:tab w:val="right" w:leader="dot" w:pos="9350"/>
            </w:tabs>
            <w:spacing w:after="240"/>
            <w:rPr>
              <w:rFonts w:eastAsiaTheme="minorEastAsia"/>
              <w:noProof/>
              <w:sz w:val="24"/>
              <w:szCs w:val="24"/>
              <w:lang w:val="en-CA" w:eastAsia="en-CA"/>
            </w:rPr>
          </w:pPr>
          <w:hyperlink w:anchor="_Toc23349326" w:history="1">
            <w:r w:rsidR="00C125CD" w:rsidRPr="00222C85">
              <w:rPr>
                <w:rStyle w:val="Hyperlink"/>
                <w:noProof/>
                <w:sz w:val="24"/>
                <w:szCs w:val="24"/>
              </w:rPr>
              <w:t>Audience</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_Toc23349326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4</w:t>
            </w:r>
            <w:r w:rsidR="00C125CD" w:rsidRPr="00222C85">
              <w:rPr>
                <w:noProof/>
                <w:webHidden/>
                <w:sz w:val="24"/>
                <w:szCs w:val="24"/>
              </w:rPr>
              <w:fldChar w:fldCharType="end"/>
            </w:r>
          </w:hyperlink>
        </w:p>
        <w:p w14:paraId="475024B7" w14:textId="14F7A889" w:rsidR="00C125CD" w:rsidRPr="00222C85" w:rsidRDefault="006D3875" w:rsidP="00C125CD">
          <w:pPr>
            <w:pStyle w:val="TOC1"/>
            <w:tabs>
              <w:tab w:val="right" w:leader="dot" w:pos="9350"/>
            </w:tabs>
            <w:spacing w:after="240"/>
            <w:rPr>
              <w:rFonts w:eastAsiaTheme="minorEastAsia"/>
              <w:noProof/>
              <w:sz w:val="24"/>
              <w:szCs w:val="24"/>
              <w:lang w:val="en-CA" w:eastAsia="en-CA"/>
            </w:rPr>
          </w:pPr>
          <w:hyperlink w:anchor="_Toc23349327" w:history="1">
            <w:r w:rsidR="00C125CD" w:rsidRPr="00222C85">
              <w:rPr>
                <w:rStyle w:val="Hyperlink"/>
                <w:noProof/>
                <w:sz w:val="24"/>
                <w:szCs w:val="24"/>
              </w:rPr>
              <w:t>Scope</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_Toc23349327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5</w:t>
            </w:r>
            <w:r w:rsidR="00C125CD" w:rsidRPr="00222C85">
              <w:rPr>
                <w:noProof/>
                <w:webHidden/>
                <w:sz w:val="24"/>
                <w:szCs w:val="24"/>
              </w:rPr>
              <w:fldChar w:fldCharType="end"/>
            </w:r>
          </w:hyperlink>
        </w:p>
        <w:p w14:paraId="689D6329" w14:textId="0CC13E67" w:rsidR="00C125CD" w:rsidRPr="00222C85" w:rsidRDefault="006D3875" w:rsidP="00C125CD">
          <w:pPr>
            <w:pStyle w:val="TOC1"/>
            <w:tabs>
              <w:tab w:val="right" w:leader="dot" w:pos="9350"/>
            </w:tabs>
            <w:spacing w:after="240"/>
            <w:rPr>
              <w:rFonts w:eastAsiaTheme="minorEastAsia"/>
              <w:noProof/>
              <w:sz w:val="24"/>
              <w:szCs w:val="24"/>
              <w:lang w:val="en-CA" w:eastAsia="en-CA"/>
            </w:rPr>
          </w:pPr>
          <w:hyperlink w:anchor="_Toc23349328" w:history="1">
            <w:r w:rsidR="00C125CD" w:rsidRPr="00222C85">
              <w:rPr>
                <w:rStyle w:val="Hyperlink"/>
                <w:noProof/>
                <w:sz w:val="24"/>
                <w:szCs w:val="24"/>
              </w:rPr>
              <w:t>Policy Statement</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_Toc23349328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5</w:t>
            </w:r>
            <w:r w:rsidR="00C125CD" w:rsidRPr="00222C85">
              <w:rPr>
                <w:noProof/>
                <w:webHidden/>
                <w:sz w:val="24"/>
                <w:szCs w:val="24"/>
              </w:rPr>
              <w:fldChar w:fldCharType="end"/>
            </w:r>
          </w:hyperlink>
        </w:p>
        <w:p w14:paraId="78F1FE33" w14:textId="146B8E6A" w:rsidR="00C125CD" w:rsidRPr="00222C85" w:rsidRDefault="006D3875" w:rsidP="00C125CD">
          <w:pPr>
            <w:pStyle w:val="TOC1"/>
            <w:tabs>
              <w:tab w:val="right" w:leader="dot" w:pos="9350"/>
            </w:tabs>
            <w:spacing w:after="240"/>
            <w:rPr>
              <w:rFonts w:eastAsiaTheme="minorEastAsia"/>
              <w:noProof/>
              <w:sz w:val="24"/>
              <w:szCs w:val="24"/>
              <w:lang w:val="en-CA" w:eastAsia="en-CA"/>
            </w:rPr>
          </w:pPr>
          <w:hyperlink w:anchor="_Toc23349329" w:history="1">
            <w:r w:rsidR="00C125CD" w:rsidRPr="00222C85">
              <w:rPr>
                <w:rStyle w:val="Hyperlink"/>
                <w:noProof/>
                <w:sz w:val="24"/>
                <w:szCs w:val="24"/>
              </w:rPr>
              <w:t>Enforcement</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_Toc23349329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9</w:t>
            </w:r>
            <w:r w:rsidR="00C125CD" w:rsidRPr="00222C85">
              <w:rPr>
                <w:noProof/>
                <w:webHidden/>
                <w:sz w:val="24"/>
                <w:szCs w:val="24"/>
              </w:rPr>
              <w:fldChar w:fldCharType="end"/>
            </w:r>
          </w:hyperlink>
        </w:p>
        <w:p w14:paraId="76B1D05A" w14:textId="170C1C6D" w:rsidR="00C125CD" w:rsidRPr="00222C85" w:rsidRDefault="006D3875" w:rsidP="00C125CD">
          <w:pPr>
            <w:pStyle w:val="TOC1"/>
            <w:tabs>
              <w:tab w:val="right" w:leader="dot" w:pos="9350"/>
            </w:tabs>
            <w:spacing w:after="240"/>
            <w:rPr>
              <w:rFonts w:eastAsiaTheme="minorEastAsia"/>
              <w:noProof/>
              <w:sz w:val="24"/>
              <w:szCs w:val="24"/>
              <w:lang w:val="en-CA" w:eastAsia="en-CA"/>
            </w:rPr>
          </w:pPr>
          <w:hyperlink w:anchor="_Toc23349330" w:history="1">
            <w:r w:rsidR="00C125CD" w:rsidRPr="00222C85">
              <w:rPr>
                <w:rStyle w:val="Hyperlink"/>
                <w:noProof/>
                <w:sz w:val="24"/>
                <w:szCs w:val="24"/>
              </w:rPr>
              <w:t>Revision History</w:t>
            </w:r>
            <w:r w:rsidR="00C125CD" w:rsidRPr="00222C85">
              <w:rPr>
                <w:noProof/>
                <w:webHidden/>
                <w:sz w:val="24"/>
                <w:szCs w:val="24"/>
              </w:rPr>
              <w:tab/>
            </w:r>
            <w:r w:rsidR="00C125CD" w:rsidRPr="00222C85">
              <w:rPr>
                <w:noProof/>
                <w:webHidden/>
                <w:sz w:val="24"/>
                <w:szCs w:val="24"/>
              </w:rPr>
              <w:fldChar w:fldCharType="begin"/>
            </w:r>
            <w:r w:rsidR="00C125CD" w:rsidRPr="00222C85">
              <w:rPr>
                <w:noProof/>
                <w:webHidden/>
                <w:sz w:val="24"/>
                <w:szCs w:val="24"/>
              </w:rPr>
              <w:instrText xml:space="preserve"> PAGEREF _Toc23349330 \h </w:instrText>
            </w:r>
            <w:r w:rsidR="00C125CD" w:rsidRPr="00222C85">
              <w:rPr>
                <w:noProof/>
                <w:webHidden/>
                <w:sz w:val="24"/>
                <w:szCs w:val="24"/>
              </w:rPr>
            </w:r>
            <w:r w:rsidR="00C125CD" w:rsidRPr="00222C85">
              <w:rPr>
                <w:noProof/>
                <w:webHidden/>
                <w:sz w:val="24"/>
                <w:szCs w:val="24"/>
              </w:rPr>
              <w:fldChar w:fldCharType="separate"/>
            </w:r>
            <w:r w:rsidR="00685705" w:rsidRPr="00222C85">
              <w:rPr>
                <w:noProof/>
                <w:webHidden/>
                <w:sz w:val="24"/>
                <w:szCs w:val="24"/>
              </w:rPr>
              <w:t>9</w:t>
            </w:r>
            <w:r w:rsidR="00C125CD" w:rsidRPr="00222C85">
              <w:rPr>
                <w:noProof/>
                <w:webHidden/>
                <w:sz w:val="24"/>
                <w:szCs w:val="24"/>
              </w:rPr>
              <w:fldChar w:fldCharType="end"/>
            </w:r>
          </w:hyperlink>
        </w:p>
        <w:p w14:paraId="118A2F58" w14:textId="23D0A9D9" w:rsidR="00AE0465" w:rsidRDefault="00AE0465" w:rsidP="00C125CD">
          <w:pPr>
            <w:spacing w:after="240"/>
          </w:pPr>
          <w:r w:rsidRPr="00B35A27">
            <w:rPr>
              <w:rStyle w:val="BookTitle"/>
            </w:rPr>
            <w:fldChar w:fldCharType="end"/>
          </w:r>
        </w:p>
      </w:sdtContent>
    </w:sdt>
    <w:p w14:paraId="7D46EEA6" w14:textId="77777777" w:rsidR="00AE0465" w:rsidRPr="005169E3" w:rsidRDefault="00AE0465" w:rsidP="00AE0465"/>
    <w:p w14:paraId="468F4C74" w14:textId="77777777" w:rsidR="00B134A4" w:rsidRPr="00B134A4" w:rsidRDefault="00AE0465" w:rsidP="00B134A4">
      <w:pPr>
        <w:pStyle w:val="S-SubHeading"/>
        <w:rPr>
          <w:rFonts w:hint="eastAsia"/>
          <w:color w:val="FF0000"/>
        </w:rPr>
      </w:pPr>
      <w:r>
        <w:rPr>
          <w:bCs/>
        </w:rPr>
        <w:br w:type="page"/>
      </w:r>
      <w:r w:rsidR="00B134A4" w:rsidRPr="00B134A4">
        <w:rPr>
          <w:color w:val="FF0000"/>
        </w:rPr>
        <w:lastRenderedPageBreak/>
        <w:t>All rights reserved</w:t>
      </w:r>
    </w:p>
    <w:p w14:paraId="0274CE2B" w14:textId="77777777" w:rsidR="00B134A4" w:rsidRPr="004B15CB" w:rsidRDefault="00B134A4" w:rsidP="00B134A4">
      <w:pPr>
        <w:pStyle w:val="S-Body"/>
        <w:rPr>
          <w:rFonts w:hint="eastAsia"/>
        </w:rPr>
      </w:pPr>
      <w:r w:rsidRPr="00083CDE">
        <w:t xml:space="preserve">No part of this document may be reproduced in any form, including photocopying or transmission electronically to any computer, without prior written consent of </w:t>
      </w:r>
      <w:proofErr w:type="spellStart"/>
      <w:r w:rsidRPr="00083CDE">
        <w:t>Signifi</w:t>
      </w:r>
      <w:proofErr w:type="spellEnd"/>
      <w:r w:rsidRPr="00083CDE">
        <w:t xml:space="preserve"> Solutions Inc (from now on, </w:t>
      </w:r>
      <w:proofErr w:type="spellStart"/>
      <w:r w:rsidRPr="00083CDE">
        <w:t>Signifi</w:t>
      </w:r>
      <w:proofErr w:type="spellEnd"/>
      <w:r w:rsidRPr="00083CDE">
        <w:t xml:space="preserve">). The information contained in this document is proprietary to </w:t>
      </w:r>
      <w:proofErr w:type="spellStart"/>
      <w:r w:rsidRPr="00083CDE">
        <w:t>Signifi</w:t>
      </w:r>
      <w:proofErr w:type="spellEnd"/>
      <w:r w:rsidRPr="00083CDE">
        <w:t xml:space="preserve"> and may not be used or disclosed except as expressly authorized in writing by </w:t>
      </w:r>
      <w:proofErr w:type="spellStart"/>
      <w:r w:rsidRPr="00083CDE">
        <w:t>Signifi</w:t>
      </w:r>
      <w:proofErr w:type="spellEnd"/>
      <w:r w:rsidRPr="00083CDE">
        <w:t>.</w:t>
      </w:r>
    </w:p>
    <w:p w14:paraId="5615FACC" w14:textId="77777777" w:rsidR="00B134A4" w:rsidRPr="00B134A4" w:rsidRDefault="00B134A4" w:rsidP="00B134A4">
      <w:pPr>
        <w:pStyle w:val="S-SubHeading"/>
        <w:rPr>
          <w:rFonts w:hint="eastAsia"/>
          <w:color w:val="FF0000"/>
        </w:rPr>
      </w:pPr>
      <w:r w:rsidRPr="00B134A4">
        <w:rPr>
          <w:color w:val="FF0000"/>
        </w:rPr>
        <w:t>Trademarks</w:t>
      </w:r>
    </w:p>
    <w:p w14:paraId="253E528A" w14:textId="24434047" w:rsidR="00AE0465" w:rsidRDefault="00B134A4" w:rsidP="00B134A4">
      <w:pPr>
        <w:rPr>
          <w:rFonts w:ascii="Tw Cen MT Condensed" w:eastAsiaTheme="majorEastAsia" w:hAnsi="Tw Cen MT Condensed" w:cstheme="majorBidi"/>
          <w:color w:val="000000" w:themeColor="text1"/>
          <w:sz w:val="30"/>
        </w:rPr>
      </w:pPr>
      <w:r w:rsidRPr="00B134A4">
        <w:rPr>
          <w:rFonts w:ascii="Arial" w:hAnsi="Arial" w:cs="Arial"/>
          <w:sz w:val="24"/>
          <w:szCs w:val="24"/>
        </w:rPr>
        <w:t>Other product names mentioned in this document may be trademarks or registered trademarks of their respective companies and are hereby acknowledged</w:t>
      </w:r>
      <w:r w:rsidRPr="00017B53">
        <w:t>.</w:t>
      </w:r>
    </w:p>
    <w:p w14:paraId="62F131E7" w14:textId="77777777" w:rsidR="00AE0465" w:rsidRPr="001C26D8" w:rsidRDefault="00AE0465" w:rsidP="00AE0465">
      <w:pPr>
        <w:pStyle w:val="Heading3"/>
        <w:spacing w:line="240" w:lineRule="auto"/>
        <w:rPr>
          <w:bCs w:val="0"/>
        </w:rPr>
        <w:sectPr w:rsidR="00AE0465" w:rsidRPr="001C26D8" w:rsidSect="00DA095A">
          <w:pgSz w:w="12240" w:h="15840"/>
          <w:pgMar w:top="1440" w:right="1440" w:bottom="1440" w:left="1440" w:header="5760" w:footer="3600" w:gutter="0"/>
          <w:cols w:space="720"/>
          <w:docGrid w:linePitch="360"/>
        </w:sectPr>
      </w:pPr>
    </w:p>
    <w:p w14:paraId="4F58627C" w14:textId="635C06D6" w:rsidR="00AE0465" w:rsidRPr="00CA48E4" w:rsidRDefault="00CA48E4" w:rsidP="00CA48E4">
      <w:pPr>
        <w:pStyle w:val="S-Body"/>
        <w:rPr>
          <w:color w:val="FF0000"/>
          <w:sz w:val="32"/>
          <w:szCs w:val="32"/>
        </w:rPr>
      </w:pPr>
      <w:bookmarkStart w:id="0" w:name="_Toc384992278"/>
      <w:bookmarkStart w:id="1" w:name="_Toc23349323"/>
      <w:r w:rsidRPr="00CA48E4">
        <w:rPr>
          <w:color w:val="FF0000"/>
          <w:sz w:val="32"/>
          <w:szCs w:val="32"/>
        </w:rPr>
        <w:lastRenderedPageBreak/>
        <w:t>Do</w:t>
      </w:r>
      <w:r w:rsidR="00AE0465" w:rsidRPr="00CA48E4">
        <w:rPr>
          <w:color w:val="FF0000"/>
          <w:sz w:val="32"/>
          <w:szCs w:val="32"/>
        </w:rPr>
        <w:t>cument Control</w:t>
      </w:r>
      <w:bookmarkEnd w:id="0"/>
      <w:bookmarkEnd w:id="1"/>
    </w:p>
    <w:p w14:paraId="0CC70C56" w14:textId="1531D351" w:rsidR="00AE0465" w:rsidRPr="000D6161" w:rsidRDefault="00017B53" w:rsidP="0029013E">
      <w:pPr>
        <w:pStyle w:val="S-Body"/>
        <w:rPr>
          <w:rFonts w:hint="eastAsia"/>
        </w:rPr>
      </w:pPr>
      <w:r w:rsidRPr="000D6161">
        <w:t>The electronic version of this document is recognized as the only valid version.</w:t>
      </w:r>
    </w:p>
    <w:p w14:paraId="6328AA8D" w14:textId="77777777" w:rsidR="00AE0465" w:rsidRPr="00AE0465" w:rsidRDefault="00AE0465" w:rsidP="0029013E">
      <w:pPr>
        <w:pStyle w:val="S-Body"/>
        <w:rPr>
          <w:rFonts w:hint="eastAsia"/>
        </w:rPr>
      </w:pPr>
    </w:p>
    <w:p w14:paraId="13BF30F8" w14:textId="77777777" w:rsidR="0029013E" w:rsidRDefault="0029013E" w:rsidP="0029013E">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29013E" w14:paraId="614D688A" w14:textId="77777777" w:rsidTr="00044E4E">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8C6451B" w14:textId="77777777" w:rsidR="0029013E" w:rsidRDefault="0029013E"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955DA53" w14:textId="77777777" w:rsidR="0029013E" w:rsidRDefault="0029013E"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4DA580DC" w14:textId="77777777" w:rsidR="0029013E" w:rsidRDefault="0029013E" w:rsidP="00306DF9">
            <w:pPr>
              <w:pStyle w:val="S-Table-Heading"/>
              <w:rPr>
                <w:rFonts w:hint="eastAsia"/>
              </w:rPr>
            </w:pPr>
            <w:r>
              <w:t>APPROVED DATE</w:t>
            </w:r>
          </w:p>
        </w:tc>
      </w:tr>
      <w:tr w:rsidR="00087534" w14:paraId="58BDAF01" w14:textId="77777777" w:rsidTr="00044E4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7F5C545" w14:textId="13C6FED9" w:rsidR="00087534" w:rsidRDefault="00087534" w:rsidP="00087534">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9D982B" w14:textId="542B8799" w:rsidR="00087534" w:rsidRDefault="00087534" w:rsidP="00087534">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AE39AFE" w14:textId="24FDDE56" w:rsidR="00087534" w:rsidRDefault="00087534" w:rsidP="00087534">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087534" w14:paraId="6D3C23F1" w14:textId="77777777" w:rsidTr="00044E4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1B05032" w14:textId="77777777" w:rsidR="00087534" w:rsidRDefault="00087534" w:rsidP="0008753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40174BE" w14:textId="77777777" w:rsidR="00087534" w:rsidRDefault="00087534" w:rsidP="0008753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6E86A21" w14:textId="23CF700F" w:rsidR="00087534" w:rsidRDefault="00087534" w:rsidP="00087534">
            <w:pPr>
              <w:pStyle w:val="S-Table-Cells"/>
              <w:rPr>
                <w:rFonts w:hint="eastAsia"/>
              </w:rPr>
            </w:pPr>
            <w:r>
              <w:t>December 7</w:t>
            </w:r>
            <w:r w:rsidRPr="00FF52E1">
              <w:rPr>
                <w:vertAlign w:val="superscript"/>
              </w:rPr>
              <w:t>th</w:t>
            </w:r>
            <w:r>
              <w:t>, 2020</w:t>
            </w:r>
          </w:p>
        </w:tc>
      </w:tr>
      <w:tr w:rsidR="00087534" w14:paraId="2609A28F" w14:textId="77777777" w:rsidTr="00044E4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E87D398" w14:textId="77777777" w:rsidR="00087534" w:rsidRDefault="00087534" w:rsidP="0008753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BCD6098" w14:textId="77777777" w:rsidR="00087534" w:rsidRDefault="00087534" w:rsidP="0008753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0FF87CD" w14:textId="77777777" w:rsidR="00087534" w:rsidRDefault="00087534" w:rsidP="00087534">
            <w:pPr>
              <w:pStyle w:val="S-Table-Cells"/>
              <w:rPr>
                <w:rFonts w:hint="eastAsia"/>
              </w:rPr>
            </w:pPr>
            <w:r>
              <w:t>December 19</w:t>
            </w:r>
            <w:r w:rsidRPr="00FF52E1">
              <w:rPr>
                <w:vertAlign w:val="superscript"/>
              </w:rPr>
              <w:t>th</w:t>
            </w:r>
            <w:r>
              <w:t>, 2019</w:t>
            </w:r>
          </w:p>
        </w:tc>
      </w:tr>
      <w:tr w:rsidR="00087534" w14:paraId="0B704767" w14:textId="77777777" w:rsidTr="00044E4E">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73BB7FB" w14:textId="77777777" w:rsidR="00087534" w:rsidRDefault="00087534" w:rsidP="00087534"/>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90DF386" w14:textId="77777777" w:rsidR="00087534" w:rsidRDefault="00087534" w:rsidP="00087534"/>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7441F43" w14:textId="77777777" w:rsidR="00087534" w:rsidRDefault="00087534" w:rsidP="00087534"/>
        </w:tc>
      </w:tr>
      <w:tr w:rsidR="00087534" w14:paraId="08DDDE34" w14:textId="77777777" w:rsidTr="00044E4E">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D6FE9D8" w14:textId="77777777" w:rsidR="00087534" w:rsidRDefault="00087534" w:rsidP="00087534"/>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796B02D8" w14:textId="77777777" w:rsidR="00087534" w:rsidRDefault="00087534" w:rsidP="00087534"/>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19591095" w14:textId="77777777" w:rsidR="00087534" w:rsidRDefault="00087534" w:rsidP="00087534"/>
        </w:tc>
      </w:tr>
    </w:tbl>
    <w:p w14:paraId="577BA4C1" w14:textId="77777777" w:rsidR="00AE0465" w:rsidRPr="0029013E" w:rsidRDefault="00AE0465" w:rsidP="0029013E">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29013E">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0D6161" w:rsidRDefault="000D6161" w:rsidP="0029013E">
      <w:pPr>
        <w:pStyle w:val="S-Body"/>
        <w:rPr>
          <w:rFonts w:ascii="Arial" w:hAnsi="Arial" w:cs="Arial"/>
          <w:sz w:val="17"/>
          <w:szCs w:val="17"/>
        </w:rPr>
        <w:sectPr w:rsidR="00AE0465" w:rsidRPr="000D6161" w:rsidSect="008B5D53">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D87789" w:rsidRDefault="00AE0465" w:rsidP="0029013E">
      <w:pPr>
        <w:pStyle w:val="S-Heading"/>
        <w:rPr>
          <w:color w:val="FF0000"/>
          <w:sz w:val="32"/>
          <w:szCs w:val="32"/>
        </w:rPr>
      </w:pPr>
      <w:bookmarkStart w:id="4" w:name="_Toc23349324"/>
      <w:r w:rsidRPr="00D87789">
        <w:rPr>
          <w:color w:val="FF0000"/>
          <w:sz w:val="32"/>
          <w:szCs w:val="32"/>
        </w:rPr>
        <w:lastRenderedPageBreak/>
        <w:t>Introduction</w:t>
      </w:r>
      <w:bookmarkEnd w:id="4"/>
    </w:p>
    <w:p w14:paraId="2BD524AA" w14:textId="77777777" w:rsidR="00017B53" w:rsidRPr="000D6161" w:rsidRDefault="00017B53" w:rsidP="0029013E">
      <w:pPr>
        <w:pStyle w:val="S-SubHeading"/>
        <w:rPr>
          <w:rFonts w:hint="eastAsia"/>
        </w:rPr>
      </w:pPr>
      <w:r w:rsidRPr="000D6161">
        <w:t>Overview</w:t>
      </w:r>
    </w:p>
    <w:p w14:paraId="44D6FB5D" w14:textId="7417D0B3" w:rsidR="00C32B04" w:rsidRPr="00C32B04" w:rsidRDefault="00C32B04" w:rsidP="0029013E">
      <w:pPr>
        <w:pStyle w:val="S-Body"/>
        <w:rPr>
          <w:rFonts w:hint="eastAsia"/>
        </w:rPr>
      </w:pPr>
      <w:r w:rsidRPr="00C32B04">
        <w:t xml:space="preserve">This Policy addresses protecting </w:t>
      </w:r>
      <w:proofErr w:type="spellStart"/>
      <w:r w:rsidR="00234BDF">
        <w:t>Signifi</w:t>
      </w:r>
      <w:proofErr w:type="spellEnd"/>
      <w:r w:rsidRPr="00C32B04">
        <w:t xml:space="preserve"> information, computer, network and telephony resources against damage or destruction from viruses, </w:t>
      </w:r>
      <w:r w:rsidR="00234BDF">
        <w:t>t</w:t>
      </w:r>
      <w:r w:rsidRPr="00C32B04">
        <w:t xml:space="preserve">rojans, worms or other forms of malicious code and software also collectively referred to as malware.  </w:t>
      </w:r>
    </w:p>
    <w:p w14:paraId="779BFA9D" w14:textId="47058610" w:rsidR="00C32B04" w:rsidRPr="00C32B04" w:rsidRDefault="00C32B04" w:rsidP="0029013E">
      <w:pPr>
        <w:pStyle w:val="S-Body"/>
        <w:rPr>
          <w:rFonts w:hint="eastAsia"/>
        </w:rPr>
      </w:pPr>
      <w:r w:rsidRPr="00C32B04">
        <w:t xml:space="preserve">All </w:t>
      </w:r>
      <w:proofErr w:type="spellStart"/>
      <w:r w:rsidR="00234BDF">
        <w:t>Signifi</w:t>
      </w:r>
      <w:proofErr w:type="spellEnd"/>
      <w:r w:rsidRPr="00C32B04">
        <w:t xml:space="preserve"> owned or leased computer equipment must be setup in a secure fashion to protect the information contained on the system from any form of malicious code.</w:t>
      </w:r>
    </w:p>
    <w:p w14:paraId="4AD9240C" w14:textId="039BB95D" w:rsidR="00017B53" w:rsidRDefault="00C32B04" w:rsidP="0029013E">
      <w:pPr>
        <w:pStyle w:val="S-Body"/>
        <w:rPr>
          <w:rFonts w:hint="eastAsia"/>
        </w:rPr>
      </w:pPr>
      <w:r w:rsidRPr="00C32B04">
        <w:t xml:space="preserve">Virus or malware can be transmitted via e-mail or instant messaging attachments, downloadable Internet files, memory sticks, and CDs. Virus and malware are usually disguised as something else, and so its presence is not always obvious. A virus or malware infection can be very costly to </w:t>
      </w:r>
      <w:proofErr w:type="spellStart"/>
      <w:r w:rsidR="00234BDF">
        <w:t>Signifi</w:t>
      </w:r>
      <w:proofErr w:type="spellEnd"/>
      <w:r w:rsidRPr="00C32B04">
        <w:t xml:space="preserve"> in terms of potential data loss, loss of staff productivity and/or damaged reputation.</w:t>
      </w:r>
    </w:p>
    <w:p w14:paraId="194FAD65" w14:textId="77777777" w:rsidR="000D6161" w:rsidRDefault="000D6161" w:rsidP="00AE0465">
      <w:pPr>
        <w:spacing w:after="0"/>
        <w:ind w:left="720"/>
        <w:rPr>
          <w:rFonts w:eastAsia="Calibri" w:cs="Arial"/>
          <w:szCs w:val="20"/>
        </w:rPr>
      </w:pPr>
    </w:p>
    <w:p w14:paraId="35B5F691" w14:textId="77777777" w:rsidR="00AE0465" w:rsidRPr="00D87789" w:rsidRDefault="00AE0465" w:rsidP="0029013E">
      <w:pPr>
        <w:pStyle w:val="S-Heading"/>
        <w:rPr>
          <w:color w:val="FF0000"/>
          <w:sz w:val="32"/>
          <w:szCs w:val="32"/>
        </w:rPr>
      </w:pPr>
      <w:bookmarkStart w:id="5" w:name="_Toc23349325"/>
      <w:r w:rsidRPr="00D87789">
        <w:rPr>
          <w:color w:val="FF0000"/>
          <w:sz w:val="32"/>
          <w:szCs w:val="32"/>
        </w:rPr>
        <w:t>Purpose</w:t>
      </w:r>
      <w:bookmarkEnd w:id="5"/>
    </w:p>
    <w:p w14:paraId="20C0F13E" w14:textId="7D4CE788" w:rsidR="00AE0465" w:rsidRDefault="00C32B04" w:rsidP="0029013E">
      <w:pPr>
        <w:pStyle w:val="S-Body"/>
        <w:rPr>
          <w:rFonts w:hint="eastAsia"/>
        </w:rPr>
      </w:pPr>
      <w:r w:rsidRPr="00C32B04">
        <w:t xml:space="preserve">The purpose of this policy is to prevent malicious software such as virus or malware from harming any servers and corporate computing assets that are connected to the </w:t>
      </w:r>
      <w:proofErr w:type="spellStart"/>
      <w:r w:rsidR="00234BDF">
        <w:t>Signifi</w:t>
      </w:r>
      <w:proofErr w:type="spellEnd"/>
      <w:r w:rsidRPr="00C32B04">
        <w:t xml:space="preserve"> infrastructure.</w:t>
      </w:r>
      <w:r w:rsidR="0029013E">
        <w:br/>
      </w:r>
    </w:p>
    <w:p w14:paraId="25E93483" w14:textId="77777777" w:rsidR="00AE0465" w:rsidRPr="00D87789" w:rsidRDefault="00AE0465" w:rsidP="0029013E">
      <w:pPr>
        <w:pStyle w:val="S-Heading"/>
        <w:rPr>
          <w:color w:val="FF0000"/>
          <w:sz w:val="32"/>
          <w:szCs w:val="32"/>
        </w:rPr>
      </w:pPr>
      <w:bookmarkStart w:id="6" w:name="_Toc23349326"/>
      <w:r w:rsidRPr="00D87789">
        <w:rPr>
          <w:color w:val="FF0000"/>
          <w:sz w:val="32"/>
          <w:szCs w:val="32"/>
        </w:rPr>
        <w:t>Audience</w:t>
      </w:r>
      <w:bookmarkEnd w:id="6"/>
    </w:p>
    <w:p w14:paraId="68F8E5D5" w14:textId="56F2E034" w:rsidR="00017B53" w:rsidRDefault="00017B53" w:rsidP="0029013E">
      <w:pPr>
        <w:pStyle w:val="S-Body"/>
        <w:rPr>
          <w:rFonts w:hint="eastAsia"/>
        </w:rPr>
      </w:pPr>
      <w:r>
        <w:t xml:space="preserve">This policy applies to all </w:t>
      </w:r>
      <w:proofErr w:type="spellStart"/>
      <w:r w:rsidR="00234BDF">
        <w:t>Signifi</w:t>
      </w:r>
      <w:proofErr w:type="spellEnd"/>
      <w:r>
        <w:t xml:space="preserve"> </w:t>
      </w:r>
      <w:r w:rsidR="00234BDF">
        <w:t>employees, associates,</w:t>
      </w:r>
      <w:r>
        <w:t xml:space="preserve"> part-time and temporary workers, trainees, </w:t>
      </w:r>
      <w:r w:rsidR="00D87789">
        <w:t>contractors</w:t>
      </w:r>
      <w:r w:rsidR="00D87789">
        <w:rPr>
          <w:rFonts w:hint="eastAsia"/>
        </w:rPr>
        <w:t>,</w:t>
      </w:r>
      <w:r>
        <w:t xml:space="preserve"> and vendors.</w:t>
      </w:r>
    </w:p>
    <w:p w14:paraId="63C23E35" w14:textId="02C666D8" w:rsidR="00C62AE5" w:rsidRDefault="00C62AE5" w:rsidP="00AE0465">
      <w:pPr>
        <w:keepLines/>
      </w:pPr>
    </w:p>
    <w:p w14:paraId="688BD164" w14:textId="77777777" w:rsidR="0029013E" w:rsidRDefault="0029013E">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7" w:name="_Toc23349327"/>
      <w:r>
        <w:rPr>
          <w:color w:val="FFFFFF" w:themeColor="background1"/>
        </w:rPr>
        <w:br w:type="page"/>
      </w:r>
    </w:p>
    <w:p w14:paraId="080854DD" w14:textId="0A5B384E" w:rsidR="00AE0465" w:rsidRPr="00D87789" w:rsidRDefault="00AE0465" w:rsidP="0029013E">
      <w:pPr>
        <w:pStyle w:val="S-Heading"/>
        <w:rPr>
          <w:color w:val="FF0000"/>
          <w:sz w:val="32"/>
          <w:szCs w:val="32"/>
        </w:rPr>
      </w:pPr>
      <w:r w:rsidRPr="00D87789">
        <w:rPr>
          <w:color w:val="FF0000"/>
          <w:sz w:val="32"/>
          <w:szCs w:val="32"/>
        </w:rPr>
        <w:lastRenderedPageBreak/>
        <w:t>Scope</w:t>
      </w:r>
      <w:bookmarkEnd w:id="7"/>
    </w:p>
    <w:p w14:paraId="4F8429D4" w14:textId="2A9ACA11" w:rsidR="000D6161" w:rsidRPr="000D6161" w:rsidRDefault="000D6161" w:rsidP="0029013E">
      <w:pPr>
        <w:pStyle w:val="S-Body"/>
        <w:rPr>
          <w:rFonts w:hint="eastAsia"/>
        </w:rPr>
      </w:pPr>
      <w:r w:rsidRPr="000D6161">
        <w:t xml:space="preserve">This policy applies to all users which include but not limited to </w:t>
      </w:r>
      <w:r w:rsidR="00234BDF">
        <w:t>employees, associates,</w:t>
      </w:r>
      <w:r w:rsidRPr="000D6161">
        <w:t xml:space="preserve"> contractors, part-time and temporary workers, trainees, service providers, and those employed by others to perform work at hosted or outsourced sites, or who have been granted access to </w:t>
      </w:r>
      <w:proofErr w:type="spellStart"/>
      <w:r w:rsidR="00234BDF">
        <w:t>Signifi</w:t>
      </w:r>
      <w:proofErr w:type="spellEnd"/>
      <w:r w:rsidRPr="000D6161">
        <w:t xml:space="preserve"> information or systems. This policy applies to all </w:t>
      </w:r>
      <w:proofErr w:type="spellStart"/>
      <w:r w:rsidR="00234BDF">
        <w:t>Signifi</w:t>
      </w:r>
      <w:proofErr w:type="spellEnd"/>
      <w:r w:rsidRPr="000D6161">
        <w:t xml:space="preserve"> resources owned, leased, or supported by </w:t>
      </w:r>
      <w:proofErr w:type="spellStart"/>
      <w:r w:rsidR="00234BDF">
        <w:t>Signifi</w:t>
      </w:r>
      <w:proofErr w:type="spellEnd"/>
      <w:r w:rsidRPr="000D6161">
        <w:t xml:space="preserve">, or any outside entity that has signed a Vendor Access Agreement with </w:t>
      </w:r>
      <w:proofErr w:type="spellStart"/>
      <w:r w:rsidR="00234BDF">
        <w:t>Signifi</w:t>
      </w:r>
      <w:proofErr w:type="spellEnd"/>
      <w:r w:rsidRPr="000D6161">
        <w:t>.</w:t>
      </w:r>
    </w:p>
    <w:p w14:paraId="6A263735" w14:textId="77777777" w:rsidR="00AE0465" w:rsidRPr="006D4F1F" w:rsidRDefault="00AE0465" w:rsidP="00AE0465">
      <w:pPr>
        <w:spacing w:after="0"/>
        <w:rPr>
          <w:rFonts w:eastAsia="Calibri" w:cs="Arial"/>
          <w:szCs w:val="20"/>
        </w:rPr>
      </w:pPr>
    </w:p>
    <w:p w14:paraId="6DF3D5DC" w14:textId="167B86F1" w:rsidR="008B5D53" w:rsidRPr="00F8360C" w:rsidRDefault="00AE0465" w:rsidP="0029013E">
      <w:pPr>
        <w:pStyle w:val="S-Heading"/>
        <w:rPr>
          <w:color w:val="FF0000"/>
          <w:sz w:val="32"/>
          <w:szCs w:val="32"/>
        </w:rPr>
      </w:pPr>
      <w:bookmarkStart w:id="8" w:name="_Toc510450537"/>
      <w:bookmarkStart w:id="9" w:name="_Toc23349328"/>
      <w:r w:rsidRPr="00F8360C">
        <w:rPr>
          <w:color w:val="FF0000"/>
          <w:sz w:val="32"/>
          <w:szCs w:val="32"/>
        </w:rPr>
        <w:t>Policy Statement</w:t>
      </w:r>
      <w:bookmarkEnd w:id="8"/>
      <w:bookmarkEnd w:id="9"/>
    </w:p>
    <w:p w14:paraId="225EB08A" w14:textId="1BF49A27" w:rsidR="00AE0465" w:rsidRPr="00083CDE" w:rsidRDefault="008B5D53" w:rsidP="008B5D53">
      <w:pPr>
        <w:pStyle w:val="S-Body"/>
        <w:rPr>
          <w:rFonts w:hint="eastAsia"/>
        </w:rPr>
      </w:pPr>
      <w:r w:rsidRPr="008B5D53">
        <w:t>The following steps must be adhered to by the user and/or IT Department:</w:t>
      </w:r>
    </w:p>
    <w:p w14:paraId="71D68F40" w14:textId="4BADF9C2" w:rsidR="0029013E" w:rsidRDefault="00C32B04" w:rsidP="00B20CA0">
      <w:pPr>
        <w:pStyle w:val="S-SubHeading"/>
        <w:numPr>
          <w:ilvl w:val="0"/>
          <w:numId w:val="16"/>
        </w:numPr>
        <w:rPr>
          <w:rFonts w:hint="eastAsia"/>
        </w:rPr>
      </w:pPr>
      <w:r w:rsidRPr="00C32B04">
        <w:t>IT Responsibilities</w:t>
      </w:r>
    </w:p>
    <w:p w14:paraId="4D1FF9DF" w14:textId="77777777" w:rsidR="0029013E" w:rsidRDefault="0029013E" w:rsidP="0029013E">
      <w:pPr>
        <w:pStyle w:val="S-Body"/>
        <w:numPr>
          <w:ilvl w:val="1"/>
          <w:numId w:val="20"/>
        </w:numPr>
        <w:ind w:left="1276" w:hanging="566"/>
        <w:rPr>
          <w:rFonts w:hint="eastAsia"/>
        </w:rPr>
      </w:pPr>
      <w:r>
        <w:t xml:space="preserve">Implement credible and reputable anti-virus software or malware protection system that should be capable of detecting, </w:t>
      </w:r>
      <w:proofErr w:type="gramStart"/>
      <w:r>
        <w:t>removing</w:t>
      </w:r>
      <w:proofErr w:type="gramEnd"/>
      <w:r>
        <w:t xml:space="preserve"> and protecting against malicious software.</w:t>
      </w:r>
    </w:p>
    <w:p w14:paraId="11E9C335" w14:textId="4B62A5A2" w:rsidR="0029013E" w:rsidRDefault="0029013E" w:rsidP="0029013E">
      <w:pPr>
        <w:pStyle w:val="S-Body"/>
        <w:numPr>
          <w:ilvl w:val="1"/>
          <w:numId w:val="20"/>
        </w:numPr>
        <w:ind w:left="1276" w:hanging="566"/>
        <w:rPr>
          <w:rFonts w:hint="eastAsia"/>
        </w:rPr>
      </w:pPr>
      <w:r>
        <w:t>Ensure that anti-virus mechanisms are current, actively running, capable of generating logs and not alterable by the user. Logs must be retained for a minimum of one year, with three months immediately available for analysis.</w:t>
      </w:r>
    </w:p>
    <w:p w14:paraId="12C7189E" w14:textId="77777777" w:rsidR="0029013E" w:rsidRDefault="0029013E" w:rsidP="00B63691">
      <w:pPr>
        <w:pStyle w:val="S-Body"/>
        <w:numPr>
          <w:ilvl w:val="1"/>
          <w:numId w:val="20"/>
        </w:numPr>
        <w:ind w:left="1276" w:hanging="566"/>
        <w:rPr>
          <w:rFonts w:hint="eastAsia"/>
        </w:rPr>
      </w:pPr>
      <w:r>
        <w:t xml:space="preserve">It is the responsibility of the Data Center Operations and IT Service Desk teams to have current virus definitions for </w:t>
      </w:r>
      <w:proofErr w:type="spellStart"/>
      <w:r>
        <w:t>Signifi</w:t>
      </w:r>
      <w:proofErr w:type="spellEnd"/>
      <w:r>
        <w:t xml:space="preserve"> approved anti-virus software definitions installed on all IT managed devices that are owned or leased by </w:t>
      </w:r>
      <w:proofErr w:type="spellStart"/>
      <w:r>
        <w:t>Signifi</w:t>
      </w:r>
      <w:proofErr w:type="spellEnd"/>
      <w:r>
        <w:t>. The virus patterns for the software must be updated at least bi-monthly or preferably whenever a new update is available to ensure latest viruses are recognized and detected.</w:t>
      </w:r>
    </w:p>
    <w:p w14:paraId="193A95C6" w14:textId="398D5C03" w:rsidR="0029013E" w:rsidRDefault="0029013E" w:rsidP="008B5D53">
      <w:pPr>
        <w:pStyle w:val="S-Body"/>
        <w:numPr>
          <w:ilvl w:val="1"/>
          <w:numId w:val="20"/>
        </w:numPr>
        <w:ind w:left="1276" w:hanging="567"/>
        <w:rPr>
          <w:rFonts w:hint="eastAsia"/>
        </w:rPr>
      </w:pPr>
      <w:r>
        <w:t xml:space="preserve">The Information Security team will randomly check systems to ensure that the virus software is </w:t>
      </w:r>
      <w:r w:rsidR="00F8360C">
        <w:t>active</w:t>
      </w:r>
      <w:r w:rsidR="00F8360C">
        <w:rPr>
          <w:rFonts w:hint="eastAsia"/>
        </w:rPr>
        <w:t>,</w:t>
      </w:r>
      <w:r>
        <w:t xml:space="preserve"> and all updates have been applied.</w:t>
      </w:r>
    </w:p>
    <w:p w14:paraId="77909B9A" w14:textId="77777777" w:rsidR="0029013E" w:rsidRDefault="0029013E" w:rsidP="008B5D53">
      <w:pPr>
        <w:pStyle w:val="S-Body"/>
        <w:numPr>
          <w:ilvl w:val="1"/>
          <w:numId w:val="20"/>
        </w:numPr>
        <w:ind w:left="1276" w:hanging="567"/>
        <w:rPr>
          <w:rFonts w:hint="eastAsia"/>
        </w:rPr>
      </w:pPr>
      <w:r>
        <w:t>Enable the built-in firewall that is included in major operating systems and/or install a firewall application on all corporate computers and servers (as required).</w:t>
      </w:r>
    </w:p>
    <w:p w14:paraId="01AE5883" w14:textId="77777777" w:rsidR="0029013E" w:rsidRDefault="0029013E" w:rsidP="008B5D53">
      <w:pPr>
        <w:pStyle w:val="S-Body"/>
        <w:numPr>
          <w:ilvl w:val="1"/>
          <w:numId w:val="20"/>
        </w:numPr>
        <w:ind w:left="1276" w:hanging="567"/>
        <w:rPr>
          <w:rFonts w:hint="eastAsia"/>
        </w:rPr>
      </w:pPr>
      <w:r>
        <w:lastRenderedPageBreak/>
        <w:t>Anti-Virus software must be enabled for automatic updates and periodic scans.</w:t>
      </w:r>
    </w:p>
    <w:p w14:paraId="18864CEB" w14:textId="77777777" w:rsidR="0029013E" w:rsidRDefault="0029013E" w:rsidP="008B5D53">
      <w:pPr>
        <w:pStyle w:val="S-Body"/>
        <w:numPr>
          <w:ilvl w:val="1"/>
          <w:numId w:val="20"/>
        </w:numPr>
        <w:ind w:left="1276" w:hanging="567"/>
        <w:rPr>
          <w:rFonts w:hint="eastAsia"/>
        </w:rPr>
      </w:pPr>
      <w:r>
        <w:t>Virus-infected computers must be removed from the network immediately. The computer must not be connected to the network again, until it is confirmed clean by an appropriate IT resource.</w:t>
      </w:r>
    </w:p>
    <w:p w14:paraId="7341971B" w14:textId="77777777" w:rsidR="0029013E" w:rsidRDefault="0029013E" w:rsidP="008B5D53">
      <w:pPr>
        <w:pStyle w:val="S-Body"/>
        <w:numPr>
          <w:ilvl w:val="1"/>
          <w:numId w:val="20"/>
        </w:numPr>
        <w:ind w:left="1276" w:hanging="567"/>
        <w:rPr>
          <w:rFonts w:hint="eastAsia"/>
        </w:rPr>
      </w:pPr>
      <w:r>
        <w:t xml:space="preserve">Any external data introduced into the IT systems/network through mobile devices must be first scanned with an approved virus detection mechanism prior to being utilized, </w:t>
      </w:r>
      <w:proofErr w:type="gramStart"/>
      <w:r>
        <w:t>stored</w:t>
      </w:r>
      <w:proofErr w:type="gramEnd"/>
      <w:r>
        <w:t xml:space="preserve"> or installed on any system.</w:t>
      </w:r>
    </w:p>
    <w:p w14:paraId="364EDF72" w14:textId="77777777" w:rsidR="0029013E" w:rsidRDefault="0029013E" w:rsidP="008B5D53">
      <w:pPr>
        <w:pStyle w:val="S-Body"/>
        <w:numPr>
          <w:ilvl w:val="1"/>
          <w:numId w:val="20"/>
        </w:numPr>
        <w:ind w:left="1276" w:hanging="567"/>
        <w:rPr>
          <w:rFonts w:hint="eastAsia"/>
        </w:rPr>
      </w:pPr>
      <w:r>
        <w:t>Any standalone environment (</w:t>
      </w:r>
      <w:proofErr w:type="gramStart"/>
      <w:r>
        <w:t>e.g.</w:t>
      </w:r>
      <w:proofErr w:type="gramEnd"/>
      <w:r>
        <w:t xml:space="preserve"> Lab) must conform to this Policy unless otherwise approved by the Director of IT.  </w:t>
      </w:r>
    </w:p>
    <w:p w14:paraId="0ADEDCFA" w14:textId="77777777" w:rsidR="0029013E" w:rsidRDefault="0029013E" w:rsidP="008B5D53">
      <w:pPr>
        <w:pStyle w:val="S-Body"/>
        <w:numPr>
          <w:ilvl w:val="1"/>
          <w:numId w:val="20"/>
        </w:numPr>
        <w:ind w:left="1276" w:hanging="567"/>
        <w:rPr>
          <w:rFonts w:hint="eastAsia"/>
        </w:rPr>
      </w:pPr>
      <w:r>
        <w:t xml:space="preserve">In the event of a virus or malware detection and reporting, the IT Service Desk, Customer </w:t>
      </w:r>
      <w:proofErr w:type="gramStart"/>
      <w:r>
        <w:t>Support</w:t>
      </w:r>
      <w:proofErr w:type="gramEnd"/>
      <w:r>
        <w:t xml:space="preserve"> and Information Security teams will determine the impact of the virus on </w:t>
      </w:r>
      <w:proofErr w:type="spellStart"/>
      <w:r>
        <w:t>Signifi</w:t>
      </w:r>
      <w:proofErr w:type="spellEnd"/>
      <w:r>
        <w:t xml:space="preserve"> computing environment. Analysis should be given emphasis but not limited to the following:</w:t>
      </w:r>
    </w:p>
    <w:p w14:paraId="22D01E04" w14:textId="77777777" w:rsidR="0029013E" w:rsidRDefault="0029013E" w:rsidP="008B5D53">
      <w:pPr>
        <w:pStyle w:val="S-Body"/>
        <w:numPr>
          <w:ilvl w:val="1"/>
          <w:numId w:val="21"/>
        </w:numPr>
        <w:ind w:left="1701" w:hanging="425"/>
        <w:rPr>
          <w:rFonts w:hint="eastAsia"/>
        </w:rPr>
      </w:pPr>
      <w:r>
        <w:t xml:space="preserve">Disconnect the affected system or systems (if it hasn’t already been disconnected by the associate) from the network immediately to prevent the virus or malware from spreading. </w:t>
      </w:r>
    </w:p>
    <w:p w14:paraId="251C45F6" w14:textId="77777777" w:rsidR="0029013E" w:rsidRDefault="0029013E" w:rsidP="008B5D53">
      <w:pPr>
        <w:pStyle w:val="S-Body"/>
        <w:numPr>
          <w:ilvl w:val="1"/>
          <w:numId w:val="21"/>
        </w:numPr>
        <w:ind w:left="1701" w:hanging="425"/>
        <w:rPr>
          <w:rFonts w:hint="eastAsia"/>
        </w:rPr>
      </w:pPr>
      <w:r>
        <w:t>Examine all machines on the local network for signs of contamination. In most case, if one host has been compromised, others on the network have also been contaminated.</w:t>
      </w:r>
    </w:p>
    <w:p w14:paraId="48B4C549" w14:textId="77777777" w:rsidR="0029013E" w:rsidRDefault="0029013E" w:rsidP="008B5D53">
      <w:pPr>
        <w:pStyle w:val="S-Body"/>
        <w:numPr>
          <w:ilvl w:val="1"/>
          <w:numId w:val="21"/>
        </w:numPr>
        <w:ind w:left="1701" w:hanging="425"/>
        <w:rPr>
          <w:rFonts w:hint="eastAsia"/>
        </w:rPr>
      </w:pPr>
      <w:r>
        <w:t xml:space="preserve">It may be necessary for Data Center Operations or IT Service Desk teams to shut down the data network, or portions thereof. </w:t>
      </w:r>
    </w:p>
    <w:p w14:paraId="5A014FF8" w14:textId="77777777" w:rsidR="0029013E" w:rsidRDefault="0029013E" w:rsidP="008B5D53">
      <w:pPr>
        <w:pStyle w:val="S-Body"/>
        <w:numPr>
          <w:ilvl w:val="1"/>
          <w:numId w:val="21"/>
        </w:numPr>
        <w:ind w:left="1701" w:hanging="425"/>
        <w:rPr>
          <w:rFonts w:hint="eastAsia"/>
        </w:rPr>
      </w:pPr>
      <w:r>
        <w:t xml:space="preserve">Install the latest update of the </w:t>
      </w:r>
      <w:proofErr w:type="spellStart"/>
      <w:r>
        <w:t>Signifi</w:t>
      </w:r>
      <w:proofErr w:type="spellEnd"/>
      <w:r>
        <w:t xml:space="preserve"> approved anti-virus software on isolated system(s), if required and run a full system scan.</w:t>
      </w:r>
    </w:p>
    <w:p w14:paraId="7F65BDBF" w14:textId="77777777" w:rsidR="0029013E" w:rsidRDefault="0029013E" w:rsidP="008B5D53">
      <w:pPr>
        <w:pStyle w:val="S-Body"/>
        <w:numPr>
          <w:ilvl w:val="1"/>
          <w:numId w:val="21"/>
        </w:numPr>
        <w:ind w:left="1701" w:hanging="425"/>
        <w:rPr>
          <w:rFonts w:hint="eastAsia"/>
        </w:rPr>
      </w:pPr>
      <w:r>
        <w:t>Look for unusual or hidden files or directories on the system.</w:t>
      </w:r>
    </w:p>
    <w:p w14:paraId="7D2D54B9" w14:textId="77777777" w:rsidR="0029013E" w:rsidRDefault="0029013E" w:rsidP="008B5D53">
      <w:pPr>
        <w:pStyle w:val="S-Body"/>
        <w:numPr>
          <w:ilvl w:val="1"/>
          <w:numId w:val="21"/>
        </w:numPr>
        <w:ind w:left="1701" w:hanging="425"/>
        <w:rPr>
          <w:rFonts w:hint="eastAsia"/>
        </w:rPr>
      </w:pPr>
      <w:r>
        <w:t xml:space="preserve">Check system binaries to make sure they have not been changed. </w:t>
      </w:r>
    </w:p>
    <w:p w14:paraId="4F1845A7" w14:textId="77777777" w:rsidR="0029013E" w:rsidRDefault="0029013E" w:rsidP="008B5D53">
      <w:pPr>
        <w:pStyle w:val="S-Body"/>
        <w:numPr>
          <w:ilvl w:val="1"/>
          <w:numId w:val="21"/>
        </w:numPr>
        <w:ind w:left="1701" w:hanging="425"/>
        <w:rPr>
          <w:rFonts w:hint="eastAsia"/>
        </w:rPr>
      </w:pPr>
      <w:r>
        <w:t>Check system or network configuration files for unauthorized entries.</w:t>
      </w:r>
    </w:p>
    <w:p w14:paraId="7134E8AA" w14:textId="77777777" w:rsidR="0029013E" w:rsidRDefault="0029013E" w:rsidP="008B5D53">
      <w:pPr>
        <w:pStyle w:val="S-Body"/>
        <w:numPr>
          <w:ilvl w:val="1"/>
          <w:numId w:val="21"/>
        </w:numPr>
        <w:ind w:left="1701" w:hanging="425"/>
        <w:rPr>
          <w:rFonts w:hint="eastAsia"/>
        </w:rPr>
      </w:pPr>
      <w:r>
        <w:t xml:space="preserve">Restore clean backups. </w:t>
      </w:r>
    </w:p>
    <w:p w14:paraId="15CEA929" w14:textId="77777777" w:rsidR="0029013E" w:rsidRDefault="0029013E" w:rsidP="008B5D53">
      <w:pPr>
        <w:pStyle w:val="S-Body"/>
        <w:numPr>
          <w:ilvl w:val="1"/>
          <w:numId w:val="21"/>
        </w:numPr>
        <w:ind w:left="1701" w:hanging="425"/>
        <w:rPr>
          <w:rFonts w:hint="eastAsia"/>
        </w:rPr>
      </w:pPr>
      <w:r>
        <w:lastRenderedPageBreak/>
        <w:t xml:space="preserve">Once sure that the system/s are clean re-connect them to the network. </w:t>
      </w:r>
    </w:p>
    <w:p w14:paraId="343C56D9" w14:textId="77777777" w:rsidR="0029013E" w:rsidRDefault="0029013E" w:rsidP="008B5D53">
      <w:pPr>
        <w:pStyle w:val="S-Body"/>
        <w:numPr>
          <w:ilvl w:val="1"/>
          <w:numId w:val="21"/>
        </w:numPr>
        <w:ind w:left="1701" w:hanging="425"/>
        <w:rPr>
          <w:rFonts w:hint="eastAsia"/>
        </w:rPr>
      </w:pPr>
      <w:r>
        <w:t>Closely monitor the affected network segment for an appropriate amount of time for signs of recurrence.</w:t>
      </w:r>
    </w:p>
    <w:p w14:paraId="55F42B65" w14:textId="77777777" w:rsidR="0029013E" w:rsidRDefault="0029013E" w:rsidP="008B5D53">
      <w:pPr>
        <w:pStyle w:val="S-Body"/>
        <w:numPr>
          <w:ilvl w:val="1"/>
          <w:numId w:val="21"/>
        </w:numPr>
        <w:ind w:left="1701" w:hanging="425"/>
        <w:rPr>
          <w:rFonts w:hint="eastAsia"/>
        </w:rPr>
      </w:pPr>
      <w:r>
        <w:t>An event log of reported virus outbreaks must be maintained by Information Security that defines the origin and methods of eradication.</w:t>
      </w:r>
    </w:p>
    <w:p w14:paraId="49A495F6" w14:textId="54CBEA74" w:rsidR="008B5D53" w:rsidRDefault="008B5D53" w:rsidP="008B5D53">
      <w:pPr>
        <w:pStyle w:val="S-SubHeading"/>
        <w:numPr>
          <w:ilvl w:val="0"/>
          <w:numId w:val="16"/>
        </w:numPr>
        <w:rPr>
          <w:rFonts w:hint="eastAsia"/>
        </w:rPr>
      </w:pPr>
      <w:r>
        <w:t>User Responsibilities</w:t>
      </w:r>
    </w:p>
    <w:p w14:paraId="3207CD69" w14:textId="77777777" w:rsidR="008B5D53" w:rsidRPr="008B5D53" w:rsidRDefault="008B5D53" w:rsidP="008B5D53">
      <w:pPr>
        <w:pStyle w:val="ListParagraph"/>
        <w:numPr>
          <w:ilvl w:val="0"/>
          <w:numId w:val="22"/>
        </w:numPr>
        <w:pBdr>
          <w:top w:val="nil"/>
          <w:left w:val="nil"/>
          <w:bottom w:val="nil"/>
          <w:right w:val="nil"/>
          <w:between w:val="nil"/>
          <w:bar w:val="nil"/>
        </w:pBdr>
        <w:spacing w:line="288" w:lineRule="auto"/>
        <w:ind w:right="280"/>
        <w:contextualSpacing w:val="0"/>
        <w:rPr>
          <w:rFonts w:ascii="Helvetica Neue" w:eastAsia="Arial Unicode MS" w:hAnsi="Helvetica Neue" w:cs="Arial Unicode MS" w:hint="eastAsia"/>
          <w:vanish/>
          <w:color w:val="000000"/>
          <w:sz w:val="24"/>
          <w:szCs w:val="24"/>
          <w:u w:color="000000"/>
          <w:bdr w:val="nil"/>
          <w:lang w:val="en-CA" w:eastAsia="en-CA"/>
        </w:rPr>
      </w:pPr>
    </w:p>
    <w:p w14:paraId="2E2EE21C" w14:textId="77777777" w:rsidR="008B5D53" w:rsidRPr="008B5D53" w:rsidRDefault="008B5D53" w:rsidP="008B5D53">
      <w:pPr>
        <w:pStyle w:val="ListParagraph"/>
        <w:numPr>
          <w:ilvl w:val="0"/>
          <w:numId w:val="22"/>
        </w:numPr>
        <w:pBdr>
          <w:top w:val="nil"/>
          <w:left w:val="nil"/>
          <w:bottom w:val="nil"/>
          <w:right w:val="nil"/>
          <w:between w:val="nil"/>
          <w:bar w:val="nil"/>
        </w:pBdr>
        <w:spacing w:line="288" w:lineRule="auto"/>
        <w:ind w:right="280"/>
        <w:contextualSpacing w:val="0"/>
        <w:rPr>
          <w:rFonts w:ascii="Helvetica Neue" w:eastAsia="Arial Unicode MS" w:hAnsi="Helvetica Neue" w:cs="Arial Unicode MS" w:hint="eastAsia"/>
          <w:vanish/>
          <w:color w:val="000000"/>
          <w:sz w:val="24"/>
          <w:szCs w:val="24"/>
          <w:u w:color="000000"/>
          <w:bdr w:val="nil"/>
          <w:lang w:val="en-CA" w:eastAsia="en-CA"/>
        </w:rPr>
      </w:pPr>
    </w:p>
    <w:p w14:paraId="658833D4" w14:textId="77777777" w:rsidR="008B5D53" w:rsidRDefault="008B5D53" w:rsidP="008B5D53">
      <w:pPr>
        <w:pStyle w:val="S-Body"/>
        <w:numPr>
          <w:ilvl w:val="1"/>
          <w:numId w:val="22"/>
        </w:numPr>
        <w:ind w:left="1276" w:hanging="567"/>
        <w:rPr>
          <w:rFonts w:hint="eastAsia"/>
        </w:rPr>
      </w:pPr>
      <w:r>
        <w:t>Scan all email attachments before opening them. Email is a method to spread malicious program via attachments and IT has implemented controls to perform this function.</w:t>
      </w:r>
    </w:p>
    <w:p w14:paraId="3539433A" w14:textId="77777777" w:rsidR="008B5D53" w:rsidRDefault="008B5D53" w:rsidP="008B5D53">
      <w:pPr>
        <w:pStyle w:val="S-Body"/>
        <w:numPr>
          <w:ilvl w:val="1"/>
          <w:numId w:val="22"/>
        </w:numPr>
        <w:ind w:left="1276" w:hanging="567"/>
        <w:rPr>
          <w:rFonts w:hint="eastAsia"/>
        </w:rPr>
      </w:pPr>
      <w:r>
        <w:t>Anti-virus solutions deployed on systems must not be disabled by an employee at any time.</w:t>
      </w:r>
    </w:p>
    <w:p w14:paraId="70D4E188" w14:textId="77777777" w:rsidR="008B5D53" w:rsidRDefault="008B5D53" w:rsidP="008B5D53">
      <w:pPr>
        <w:pStyle w:val="S-Body"/>
        <w:numPr>
          <w:ilvl w:val="1"/>
          <w:numId w:val="22"/>
        </w:numPr>
        <w:ind w:left="1276" w:hanging="567"/>
        <w:rPr>
          <w:rFonts w:hint="eastAsia"/>
        </w:rPr>
      </w:pPr>
      <w:r>
        <w:t xml:space="preserve">Contractors, vendors, or individuals whose computer device is not owned by </w:t>
      </w:r>
      <w:proofErr w:type="spellStart"/>
      <w:r>
        <w:t>Signifi</w:t>
      </w:r>
      <w:proofErr w:type="spellEnd"/>
      <w:r>
        <w:t xml:space="preserve"> must have updated anti-virus installed and operating before connecting it to the </w:t>
      </w:r>
      <w:proofErr w:type="spellStart"/>
      <w:r>
        <w:t>Signifi</w:t>
      </w:r>
      <w:proofErr w:type="spellEnd"/>
      <w:r>
        <w:t xml:space="preserve"> environment. All external parties are required to sign the Remote Vendor Access Agreement.</w:t>
      </w:r>
    </w:p>
    <w:p w14:paraId="31DD19F7" w14:textId="77777777" w:rsidR="008B5D53" w:rsidRDefault="008B5D53" w:rsidP="008B5D53">
      <w:pPr>
        <w:pStyle w:val="S-Body"/>
        <w:numPr>
          <w:ilvl w:val="1"/>
          <w:numId w:val="22"/>
        </w:numPr>
        <w:ind w:left="1276" w:hanging="567"/>
        <w:rPr>
          <w:rFonts w:hint="eastAsia"/>
        </w:rPr>
      </w:pPr>
      <w:r>
        <w:t xml:space="preserve">Never open any files attached to an email from unknown, </w:t>
      </w:r>
      <w:proofErr w:type="gramStart"/>
      <w:r>
        <w:t>suspicious</w:t>
      </w:r>
      <w:proofErr w:type="gramEnd"/>
      <w:r>
        <w:t xml:space="preserve"> or untrustworthy source. </w:t>
      </w:r>
    </w:p>
    <w:p w14:paraId="0A39E071" w14:textId="77777777" w:rsidR="008B5D53" w:rsidRDefault="008B5D53" w:rsidP="008B5D53">
      <w:pPr>
        <w:pStyle w:val="S-Body"/>
        <w:numPr>
          <w:ilvl w:val="1"/>
          <w:numId w:val="22"/>
        </w:numPr>
        <w:ind w:left="1276" w:hanging="567"/>
        <w:rPr>
          <w:rFonts w:hint="eastAsia"/>
        </w:rPr>
      </w:pPr>
      <w:r>
        <w:t>Be suspicious of e-mail messages containing links to unknown web sites. It is possible that the link is a malicious executable (.exe) file disguised as a link with the intention of secretly taking control of your system. Do not click on a link sent to you if you were not expecting a specified link.</w:t>
      </w:r>
    </w:p>
    <w:p w14:paraId="6963FC01" w14:textId="77777777" w:rsidR="008B5D53" w:rsidRDefault="008B5D53" w:rsidP="008B5D53">
      <w:pPr>
        <w:pStyle w:val="S-Body"/>
        <w:numPr>
          <w:ilvl w:val="1"/>
          <w:numId w:val="22"/>
        </w:numPr>
        <w:ind w:left="1276" w:hanging="567"/>
        <w:rPr>
          <w:rFonts w:hint="eastAsia"/>
        </w:rPr>
      </w:pPr>
      <w:proofErr w:type="spellStart"/>
      <w:r>
        <w:t>Signifi</w:t>
      </w:r>
      <w:proofErr w:type="spellEnd"/>
      <w:r>
        <w:t xml:space="preserve"> employees, associates and contractors must not intentionally write, generate, copy collect, propagate, </w:t>
      </w:r>
      <w:proofErr w:type="gramStart"/>
      <w:r>
        <w:t>execute</w:t>
      </w:r>
      <w:proofErr w:type="gramEnd"/>
      <w:r>
        <w:t xml:space="preserve"> or attempt to introduce any computer code designed to self-replicate, damage or otherwise hinder the performance of or access to any </w:t>
      </w:r>
      <w:proofErr w:type="spellStart"/>
      <w:r>
        <w:t>Signifi</w:t>
      </w:r>
      <w:proofErr w:type="spellEnd"/>
      <w:r>
        <w:t xml:space="preserve"> computer, network or information. Such software, as previously defined, is known as a virus, worm, trojan or malware</w:t>
      </w:r>
    </w:p>
    <w:p w14:paraId="3BC7B1F7" w14:textId="77777777" w:rsidR="008B5D53" w:rsidRDefault="008B5D53" w:rsidP="008B5D53">
      <w:pPr>
        <w:pStyle w:val="S-Body"/>
        <w:numPr>
          <w:ilvl w:val="1"/>
          <w:numId w:val="22"/>
        </w:numPr>
        <w:ind w:left="1276" w:hanging="567"/>
        <w:rPr>
          <w:rFonts w:hint="eastAsia"/>
        </w:rPr>
      </w:pPr>
      <w:r>
        <w:lastRenderedPageBreak/>
        <w:t>No associate should attempt to destroy or remove a virus, or any evidence of that virus, without direction from the appropriate IT resource. The user must disconnect their computer from the network before calling the IT Service Desk to prevent the virus or malware from spreading.  After disconnecting from the network do not shutdown the computer so that evidence is preserved.</w:t>
      </w:r>
    </w:p>
    <w:p w14:paraId="77033761" w14:textId="77777777" w:rsidR="008B5D53" w:rsidRDefault="008B5D53" w:rsidP="008B5D53">
      <w:pPr>
        <w:pStyle w:val="S-Body"/>
        <w:numPr>
          <w:ilvl w:val="1"/>
          <w:numId w:val="22"/>
        </w:numPr>
        <w:ind w:left="1276" w:hanging="567"/>
        <w:rPr>
          <w:rFonts w:hint="eastAsia"/>
        </w:rPr>
      </w:pPr>
      <w:r>
        <w:t>The infection must be reported to IT Service Desk. Report the following information (if known): virus name, extent of infection, source of virus and potential recipients of infected material.</w:t>
      </w:r>
    </w:p>
    <w:p w14:paraId="51707E98" w14:textId="77777777" w:rsidR="008B5D53" w:rsidRDefault="008B5D53" w:rsidP="008B5D53">
      <w:pPr>
        <w:pStyle w:val="S-Body"/>
        <w:numPr>
          <w:ilvl w:val="1"/>
          <w:numId w:val="22"/>
        </w:numPr>
        <w:ind w:left="1276" w:hanging="567"/>
        <w:rPr>
          <w:rFonts w:hint="eastAsia"/>
        </w:rPr>
      </w:pPr>
      <w:proofErr w:type="spellStart"/>
      <w:r>
        <w:t>Signifi</w:t>
      </w:r>
      <w:proofErr w:type="spellEnd"/>
      <w:r>
        <w:t xml:space="preserve"> associates are not authorized to engage in any activity that is illegal under local, provincial, </w:t>
      </w:r>
      <w:proofErr w:type="gramStart"/>
      <w:r>
        <w:t>federal</w:t>
      </w:r>
      <w:proofErr w:type="gramEnd"/>
      <w:r>
        <w:t xml:space="preserve"> or international law while utilizing </w:t>
      </w:r>
      <w:proofErr w:type="spellStart"/>
      <w:r>
        <w:t>Signifi</w:t>
      </w:r>
      <w:proofErr w:type="spellEnd"/>
      <w:r>
        <w:t xml:space="preserve"> owned resources.  </w:t>
      </w:r>
    </w:p>
    <w:p w14:paraId="63B57EE2" w14:textId="77777777" w:rsidR="008B5D53" w:rsidRDefault="008B5D53" w:rsidP="008B5D53">
      <w:pPr>
        <w:pStyle w:val="S-Body"/>
        <w:numPr>
          <w:ilvl w:val="1"/>
          <w:numId w:val="22"/>
        </w:numPr>
        <w:ind w:left="1276" w:hanging="567"/>
        <w:rPr>
          <w:rFonts w:hint="eastAsia"/>
        </w:rPr>
      </w:pPr>
      <w:r>
        <w:t xml:space="preserve">While </w:t>
      </w:r>
      <w:proofErr w:type="spellStart"/>
      <w:r>
        <w:t>Signifi</w:t>
      </w:r>
      <w:proofErr w:type="spellEnd"/>
      <w:r>
        <w:t xml:space="preserve">’ IT department desires to provide a reasonable level of privacy, users should be aware that the data they create on the corporate systems remains the property of </w:t>
      </w:r>
      <w:proofErr w:type="spellStart"/>
      <w:r>
        <w:t>Signifi</w:t>
      </w:r>
      <w:proofErr w:type="spellEnd"/>
      <w:r>
        <w:t>. Personal privacy protection is NOT provided and must not be expected.</w:t>
      </w:r>
    </w:p>
    <w:p w14:paraId="44D192FF" w14:textId="47ECC268" w:rsidR="008B5D53" w:rsidRDefault="008B5D53" w:rsidP="008B5D53">
      <w:pPr>
        <w:pStyle w:val="S-Body"/>
        <w:numPr>
          <w:ilvl w:val="1"/>
          <w:numId w:val="22"/>
        </w:numPr>
        <w:ind w:left="1276" w:hanging="567"/>
        <w:rPr>
          <w:rFonts w:hint="eastAsia"/>
        </w:rPr>
      </w:pPr>
      <w:r>
        <w:t xml:space="preserve">Electronic assets and the information generated should be used for business purposes only. Official business is defined as any process that is in support of </w:t>
      </w:r>
      <w:proofErr w:type="spellStart"/>
      <w:r>
        <w:t>Signifi</w:t>
      </w:r>
      <w:proofErr w:type="spellEnd"/>
      <w:r>
        <w:t xml:space="preserve"> operations, </w:t>
      </w:r>
      <w:proofErr w:type="gramStart"/>
      <w:r>
        <w:t>management</w:t>
      </w:r>
      <w:proofErr w:type="gramEnd"/>
      <w:r>
        <w:t xml:space="preserve"> and primary business engagements. This definition also extends to any authorized agent, vendor, </w:t>
      </w:r>
      <w:r w:rsidR="009F7B92">
        <w:t>contractor</w:t>
      </w:r>
      <w:r w:rsidR="009F7B92">
        <w:rPr>
          <w:rFonts w:hint="eastAsia"/>
        </w:rPr>
        <w:t>,</w:t>
      </w:r>
      <w:r>
        <w:t xml:space="preserve"> or other support personnel.</w:t>
      </w:r>
    </w:p>
    <w:p w14:paraId="4DECA10F" w14:textId="2069A2CF" w:rsidR="0029013E" w:rsidRPr="00C32B04" w:rsidRDefault="008B5D53" w:rsidP="0029013E">
      <w:pPr>
        <w:pStyle w:val="S-Body"/>
        <w:numPr>
          <w:ilvl w:val="1"/>
          <w:numId w:val="22"/>
        </w:numPr>
        <w:ind w:left="1276" w:hanging="567"/>
        <w:rPr>
          <w:rFonts w:hint="eastAsia"/>
        </w:rPr>
      </w:pPr>
      <w:proofErr w:type="spellStart"/>
      <w:r>
        <w:t>Signifi</w:t>
      </w:r>
      <w:proofErr w:type="spellEnd"/>
      <w:r>
        <w:t xml:space="preserve"> reserves the right to audit networks and systems on a periodic basis to ensure compliance with this policy. </w:t>
      </w:r>
    </w:p>
    <w:p w14:paraId="768F2EFC" w14:textId="77777777" w:rsidR="00C32B04" w:rsidRPr="00C32B04" w:rsidRDefault="00C32B04" w:rsidP="00C32B04">
      <w:pPr>
        <w:spacing w:after="0"/>
        <w:ind w:left="567"/>
      </w:pPr>
    </w:p>
    <w:p w14:paraId="799D6387" w14:textId="77777777" w:rsidR="00AE0465" w:rsidRDefault="00AE0465" w:rsidP="00AE0465">
      <w:pPr>
        <w:spacing w:after="0"/>
      </w:pPr>
    </w:p>
    <w:p w14:paraId="6C2BE520" w14:textId="77777777" w:rsidR="008B5D53" w:rsidRDefault="008B5D53">
      <w:pPr>
        <w:spacing w:after="160" w:line="259" w:lineRule="auto"/>
        <w:rPr>
          <w:rFonts w:ascii="Helvetica Neue" w:eastAsia="Helvetica Neue" w:hAnsi="Helvetica Neue" w:cs="Helvetica Neue"/>
          <w:color w:val="E33D53"/>
          <w:sz w:val="42"/>
          <w:szCs w:val="42"/>
          <w:u w:color="FFFFFF"/>
          <w:bdr w:val="nil"/>
          <w:lang w:val="en-CA" w:eastAsia="en-CA"/>
        </w:rPr>
      </w:pPr>
      <w:bookmarkStart w:id="10" w:name="_Toc23349329"/>
      <w:r>
        <w:br w:type="page"/>
      </w:r>
    </w:p>
    <w:p w14:paraId="357B6EC9" w14:textId="2851FB8C" w:rsidR="00AE0465" w:rsidRPr="00F8360C" w:rsidRDefault="00AE0465" w:rsidP="008B5D53">
      <w:pPr>
        <w:pStyle w:val="S-Heading"/>
        <w:rPr>
          <w:sz w:val="32"/>
          <w:szCs w:val="32"/>
        </w:rPr>
      </w:pPr>
      <w:r w:rsidRPr="00F8360C">
        <w:rPr>
          <w:color w:val="FF0000"/>
          <w:sz w:val="32"/>
          <w:szCs w:val="32"/>
        </w:rPr>
        <w:lastRenderedPageBreak/>
        <w:t>Enforcement</w:t>
      </w:r>
      <w:bookmarkEnd w:id="10"/>
      <w:r w:rsidRPr="00F8360C">
        <w:rPr>
          <w:sz w:val="32"/>
          <w:szCs w:val="32"/>
        </w:rPr>
        <w:tab/>
      </w:r>
    </w:p>
    <w:p w14:paraId="05B85A02" w14:textId="6869FBF7" w:rsidR="001F5D0D" w:rsidRPr="00073D6D" w:rsidRDefault="001F5D0D" w:rsidP="008B5D53">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4AA9C233" w14:textId="77777777" w:rsidR="00044E4E" w:rsidRPr="00F8360C" w:rsidRDefault="00044E4E" w:rsidP="00044E4E">
      <w:pPr>
        <w:pStyle w:val="S-Heading"/>
        <w:rPr>
          <w:color w:val="FF0000"/>
          <w:sz w:val="32"/>
          <w:szCs w:val="32"/>
        </w:rPr>
      </w:pPr>
      <w:bookmarkStart w:id="11" w:name="_Toc510417374"/>
      <w:bookmarkStart w:id="12" w:name="_Hlk58417268"/>
      <w:r w:rsidRPr="00F8360C">
        <w:rPr>
          <w:color w:val="FF0000"/>
          <w:sz w:val="32"/>
          <w:szCs w:val="32"/>
        </w:rPr>
        <w:t>Update</w:t>
      </w:r>
      <w:r w:rsidRPr="00F8360C">
        <w:rPr>
          <w:color w:val="FF0000"/>
          <w:sz w:val="32"/>
          <w:szCs w:val="32"/>
        </w:rPr>
        <w:tab/>
      </w:r>
    </w:p>
    <w:p w14:paraId="6D8C027B" w14:textId="77777777" w:rsidR="00044E4E" w:rsidRDefault="00044E4E" w:rsidP="00044E4E">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 xml:space="preserve">This policy and all supporting documentation will be reviewed and updated annually or upon material changes to </w:t>
      </w:r>
      <w:proofErr w:type="spellStart"/>
      <w:r w:rsidRPr="00FF4655">
        <w:rPr>
          <w:rFonts w:ascii="Helvetica Neue" w:eastAsia="Arial Unicode MS" w:hAnsi="Helvetica Neue" w:cs="Arial Unicode MS"/>
          <w:color w:val="000000"/>
          <w:sz w:val="24"/>
          <w:szCs w:val="24"/>
          <w:u w:color="000000"/>
        </w:rPr>
        <w:t>Signifi</w:t>
      </w:r>
      <w:proofErr w:type="spellEnd"/>
      <w:r w:rsidRPr="00FF4655">
        <w:rPr>
          <w:rFonts w:ascii="Helvetica Neue" w:eastAsia="Arial Unicode MS" w:hAnsi="Helvetica Neue"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11"/>
    </w:p>
    <w:bookmarkEnd w:id="12"/>
    <w:p w14:paraId="5B55DF1F" w14:textId="77777777" w:rsidR="00AE0465" w:rsidRDefault="00AE0465" w:rsidP="00AE0465"/>
    <w:p w14:paraId="1813889D" w14:textId="77777777" w:rsidR="00AE0465" w:rsidRPr="00F8360C" w:rsidRDefault="00AE0465" w:rsidP="008B5D53">
      <w:pPr>
        <w:pStyle w:val="S-Heading"/>
        <w:rPr>
          <w:color w:val="FF0000"/>
          <w:sz w:val="32"/>
          <w:szCs w:val="32"/>
        </w:rPr>
      </w:pPr>
      <w:bookmarkStart w:id="13" w:name="_Toc510450541"/>
      <w:bookmarkStart w:id="14" w:name="_Toc23349330"/>
      <w:r w:rsidRPr="00F8360C">
        <w:rPr>
          <w:color w:val="FF0000"/>
          <w:sz w:val="32"/>
          <w:szCs w:val="32"/>
        </w:rPr>
        <w:t>Revision History</w:t>
      </w:r>
      <w:bookmarkEnd w:id="13"/>
      <w:bookmarkEnd w:id="14"/>
    </w:p>
    <w:tbl>
      <w:tblPr>
        <w:tblStyle w:val="TableGrid"/>
        <w:tblpPr w:leftFromText="180" w:rightFromText="180" w:vertAnchor="text" w:horzAnchor="margin" w:tblpY="495"/>
        <w:tblW w:w="9533" w:type="dxa"/>
        <w:tblLook w:val="04A0" w:firstRow="1" w:lastRow="0" w:firstColumn="1" w:lastColumn="0" w:noHBand="0" w:noVBand="1"/>
      </w:tblPr>
      <w:tblGrid>
        <w:gridCol w:w="1398"/>
        <w:gridCol w:w="1858"/>
        <w:gridCol w:w="3785"/>
        <w:gridCol w:w="2492"/>
      </w:tblGrid>
      <w:tr w:rsidR="00636B58" w14:paraId="47A038CF" w14:textId="77777777" w:rsidTr="008B5D53">
        <w:trPr>
          <w:trHeight w:val="673"/>
        </w:trPr>
        <w:tc>
          <w:tcPr>
            <w:tcW w:w="1398" w:type="dxa"/>
            <w:shd w:val="clear" w:color="auto" w:fill="auto"/>
          </w:tcPr>
          <w:p w14:paraId="3E3DD1B8" w14:textId="77777777" w:rsidR="00636B58" w:rsidRPr="00477BCF" w:rsidRDefault="00636B58" w:rsidP="008B5D53">
            <w:pPr>
              <w:pStyle w:val="S-Table-Heading"/>
              <w:rPr>
                <w:rFonts w:hint="eastAsia"/>
              </w:rPr>
            </w:pPr>
            <w:r w:rsidRPr="004B15CB">
              <w:t>VERSION</w:t>
            </w:r>
          </w:p>
        </w:tc>
        <w:tc>
          <w:tcPr>
            <w:tcW w:w="1858" w:type="dxa"/>
            <w:shd w:val="clear" w:color="auto" w:fill="auto"/>
          </w:tcPr>
          <w:p w14:paraId="64A343CD" w14:textId="77777777" w:rsidR="00636B58" w:rsidRPr="00477BCF" w:rsidRDefault="00636B58" w:rsidP="008B5D53">
            <w:pPr>
              <w:pStyle w:val="S-Table-Heading"/>
              <w:rPr>
                <w:rFonts w:hint="eastAsia"/>
              </w:rPr>
            </w:pPr>
            <w:r w:rsidRPr="004B15CB">
              <w:t>DATE</w:t>
            </w:r>
          </w:p>
        </w:tc>
        <w:tc>
          <w:tcPr>
            <w:tcW w:w="3785" w:type="dxa"/>
            <w:shd w:val="clear" w:color="auto" w:fill="auto"/>
          </w:tcPr>
          <w:p w14:paraId="666D0602" w14:textId="77777777" w:rsidR="00636B58" w:rsidRPr="008B5D53" w:rsidRDefault="00636B58" w:rsidP="008B5D53">
            <w:pPr>
              <w:pStyle w:val="S-Table-Heading"/>
              <w:rPr>
                <w:rFonts w:hint="eastAsia"/>
              </w:rPr>
            </w:pPr>
            <w:r w:rsidRPr="008B5D53">
              <w:t>SUMMARY OF CHANGE</w:t>
            </w:r>
          </w:p>
        </w:tc>
        <w:tc>
          <w:tcPr>
            <w:tcW w:w="2492" w:type="dxa"/>
            <w:shd w:val="clear" w:color="auto" w:fill="auto"/>
          </w:tcPr>
          <w:p w14:paraId="7F8C6233" w14:textId="77777777" w:rsidR="00636B58" w:rsidRPr="008B5D53" w:rsidRDefault="00636B58" w:rsidP="008B5D53">
            <w:pPr>
              <w:pStyle w:val="S-Table-Heading"/>
              <w:rPr>
                <w:rFonts w:hint="eastAsia"/>
              </w:rPr>
            </w:pPr>
            <w:r w:rsidRPr="008B5D53">
              <w:t>CHANGED BY</w:t>
            </w:r>
          </w:p>
        </w:tc>
      </w:tr>
      <w:tr w:rsidR="00E2263C" w14:paraId="6F78EDF0" w14:textId="77777777" w:rsidTr="008B5D53">
        <w:trPr>
          <w:trHeight w:val="309"/>
        </w:trPr>
        <w:tc>
          <w:tcPr>
            <w:tcW w:w="1398" w:type="dxa"/>
            <w:tcBorders>
              <w:top w:val="single" w:sz="4" w:space="0" w:color="auto"/>
              <w:left w:val="single" w:sz="4" w:space="0" w:color="auto"/>
              <w:bottom w:val="single" w:sz="4" w:space="0" w:color="auto"/>
              <w:right w:val="single" w:sz="4" w:space="0" w:color="auto"/>
            </w:tcBorders>
          </w:tcPr>
          <w:p w14:paraId="0AA2C81A" w14:textId="4F31347A" w:rsidR="00E2263C" w:rsidRDefault="00E2263C" w:rsidP="008B5D53">
            <w:pPr>
              <w:pStyle w:val="S-Table-Cells"/>
              <w:rPr>
                <w:rFonts w:hint="eastAsia"/>
              </w:rPr>
            </w:pPr>
            <w:r>
              <w:t>1.0</w:t>
            </w:r>
          </w:p>
        </w:tc>
        <w:tc>
          <w:tcPr>
            <w:tcW w:w="1858" w:type="dxa"/>
            <w:tcBorders>
              <w:top w:val="single" w:sz="4" w:space="0" w:color="auto"/>
              <w:left w:val="single" w:sz="4" w:space="0" w:color="auto"/>
              <w:bottom w:val="single" w:sz="4" w:space="0" w:color="auto"/>
              <w:right w:val="single" w:sz="4" w:space="0" w:color="auto"/>
            </w:tcBorders>
          </w:tcPr>
          <w:p w14:paraId="21E33443" w14:textId="230E2E9E" w:rsidR="00E2263C" w:rsidRDefault="00044E4E" w:rsidP="008B5D53">
            <w:pPr>
              <w:pStyle w:val="S-Table-Cells"/>
              <w:rPr>
                <w:rFonts w:hint="eastAsia"/>
              </w:rPr>
            </w:pPr>
            <w:r>
              <w:t>2019-12-05</w:t>
            </w:r>
          </w:p>
        </w:tc>
        <w:tc>
          <w:tcPr>
            <w:tcW w:w="3785" w:type="dxa"/>
            <w:tcBorders>
              <w:top w:val="single" w:sz="4" w:space="0" w:color="auto"/>
              <w:left w:val="single" w:sz="4" w:space="0" w:color="auto"/>
              <w:bottom w:val="single" w:sz="4" w:space="0" w:color="auto"/>
              <w:right w:val="single" w:sz="4" w:space="0" w:color="auto"/>
            </w:tcBorders>
          </w:tcPr>
          <w:p w14:paraId="2458A544" w14:textId="61F85E9E" w:rsidR="00E2263C" w:rsidRDefault="00E2263C" w:rsidP="008B5D53">
            <w:pPr>
              <w:pStyle w:val="S-Table-Cells"/>
              <w:rPr>
                <w:rFonts w:hint="eastAsia"/>
              </w:rPr>
            </w:pPr>
            <w:r>
              <w:t>First version</w:t>
            </w:r>
          </w:p>
        </w:tc>
        <w:tc>
          <w:tcPr>
            <w:tcW w:w="2492" w:type="dxa"/>
            <w:tcBorders>
              <w:top w:val="single" w:sz="4" w:space="0" w:color="auto"/>
              <w:left w:val="single" w:sz="4" w:space="0" w:color="auto"/>
              <w:bottom w:val="single" w:sz="4" w:space="0" w:color="auto"/>
              <w:right w:val="single" w:sz="4" w:space="0" w:color="auto"/>
            </w:tcBorders>
          </w:tcPr>
          <w:p w14:paraId="77C8DAA5" w14:textId="1052AF0A" w:rsidR="00E2263C" w:rsidRPr="00477BCF" w:rsidRDefault="00E2263C" w:rsidP="008B5D53">
            <w:pPr>
              <w:pStyle w:val="S-Table-Cells"/>
              <w:rPr>
                <w:rFonts w:hint="eastAsia"/>
              </w:rPr>
            </w:pPr>
            <w:proofErr w:type="spellStart"/>
            <w:r>
              <w:t>Darace</w:t>
            </w:r>
            <w:proofErr w:type="spellEnd"/>
            <w:r>
              <w:t xml:space="preserve"> Rose</w:t>
            </w:r>
          </w:p>
        </w:tc>
      </w:tr>
      <w:tr w:rsidR="00E2263C" w14:paraId="2152B685" w14:textId="77777777" w:rsidTr="008B5D53">
        <w:trPr>
          <w:trHeight w:val="309"/>
        </w:trPr>
        <w:tc>
          <w:tcPr>
            <w:tcW w:w="1398" w:type="dxa"/>
            <w:tcBorders>
              <w:top w:val="single" w:sz="4" w:space="0" w:color="auto"/>
              <w:left w:val="single" w:sz="4" w:space="0" w:color="auto"/>
              <w:bottom w:val="single" w:sz="4" w:space="0" w:color="auto"/>
              <w:right w:val="single" w:sz="4" w:space="0" w:color="auto"/>
            </w:tcBorders>
          </w:tcPr>
          <w:p w14:paraId="68B047D2" w14:textId="4F11CBBA" w:rsidR="00E2263C" w:rsidRDefault="00E2263C" w:rsidP="008B5D53">
            <w:pPr>
              <w:pStyle w:val="S-Table-Cells"/>
              <w:rPr>
                <w:rFonts w:hint="eastAsia"/>
              </w:rPr>
            </w:pPr>
            <w:r>
              <w:t>1.1</w:t>
            </w:r>
          </w:p>
        </w:tc>
        <w:tc>
          <w:tcPr>
            <w:tcW w:w="1858" w:type="dxa"/>
            <w:tcBorders>
              <w:top w:val="single" w:sz="4" w:space="0" w:color="auto"/>
              <w:left w:val="single" w:sz="4" w:space="0" w:color="auto"/>
              <w:bottom w:val="single" w:sz="4" w:space="0" w:color="auto"/>
              <w:right w:val="single" w:sz="4" w:space="0" w:color="auto"/>
            </w:tcBorders>
          </w:tcPr>
          <w:p w14:paraId="4DC02F56" w14:textId="7CCD7366" w:rsidR="00E2263C" w:rsidRDefault="00044E4E" w:rsidP="008B5D53">
            <w:pPr>
              <w:pStyle w:val="S-Table-Cells"/>
              <w:rPr>
                <w:rFonts w:hint="eastAsia"/>
              </w:rPr>
            </w:pPr>
            <w:r>
              <w:t>2019-12-17</w:t>
            </w:r>
          </w:p>
        </w:tc>
        <w:tc>
          <w:tcPr>
            <w:tcW w:w="3785" w:type="dxa"/>
            <w:tcBorders>
              <w:top w:val="single" w:sz="4" w:space="0" w:color="auto"/>
              <w:left w:val="single" w:sz="4" w:space="0" w:color="auto"/>
              <w:bottom w:val="single" w:sz="4" w:space="0" w:color="auto"/>
              <w:right w:val="single" w:sz="4" w:space="0" w:color="auto"/>
            </w:tcBorders>
          </w:tcPr>
          <w:p w14:paraId="60E4CD3B" w14:textId="3390CAA9" w:rsidR="00E2263C" w:rsidRDefault="00E2263C" w:rsidP="008B5D53">
            <w:pPr>
              <w:pStyle w:val="S-Table-Cells"/>
              <w:rPr>
                <w:rFonts w:hint="eastAsia"/>
              </w:rPr>
            </w:pPr>
            <w:r>
              <w:t>Update template</w:t>
            </w:r>
          </w:p>
        </w:tc>
        <w:tc>
          <w:tcPr>
            <w:tcW w:w="2492" w:type="dxa"/>
            <w:tcBorders>
              <w:top w:val="single" w:sz="4" w:space="0" w:color="auto"/>
              <w:left w:val="single" w:sz="4" w:space="0" w:color="auto"/>
              <w:bottom w:val="single" w:sz="4" w:space="0" w:color="auto"/>
              <w:right w:val="single" w:sz="4" w:space="0" w:color="auto"/>
            </w:tcBorders>
          </w:tcPr>
          <w:p w14:paraId="44A24C37" w14:textId="54BB795B" w:rsidR="00E2263C" w:rsidRDefault="00E2263C" w:rsidP="008B5D53">
            <w:pPr>
              <w:pStyle w:val="S-Table-Cells"/>
              <w:rPr>
                <w:rFonts w:hint="eastAsia"/>
              </w:rPr>
            </w:pPr>
            <w:r>
              <w:t xml:space="preserve">Razvan </w:t>
            </w:r>
            <w:proofErr w:type="spellStart"/>
            <w:r>
              <w:t>Anghelidi</w:t>
            </w:r>
            <w:proofErr w:type="spellEnd"/>
          </w:p>
        </w:tc>
      </w:tr>
      <w:tr w:rsidR="00E2263C" w14:paraId="1A5E78F2" w14:textId="77777777" w:rsidTr="008B5D53">
        <w:trPr>
          <w:trHeight w:val="319"/>
        </w:trPr>
        <w:tc>
          <w:tcPr>
            <w:tcW w:w="1398" w:type="dxa"/>
            <w:tcBorders>
              <w:top w:val="single" w:sz="4" w:space="0" w:color="auto"/>
              <w:left w:val="single" w:sz="4" w:space="0" w:color="auto"/>
              <w:bottom w:val="single" w:sz="4" w:space="0" w:color="auto"/>
              <w:right w:val="single" w:sz="4" w:space="0" w:color="auto"/>
            </w:tcBorders>
          </w:tcPr>
          <w:p w14:paraId="7D30CC4D" w14:textId="7B641658" w:rsidR="00E2263C" w:rsidRDefault="00044E4E" w:rsidP="008B5D53">
            <w:pPr>
              <w:pStyle w:val="S-Table-Cells"/>
              <w:rPr>
                <w:rFonts w:hint="eastAsia"/>
              </w:rPr>
            </w:pPr>
            <w:r>
              <w:t>1.11</w:t>
            </w:r>
          </w:p>
        </w:tc>
        <w:tc>
          <w:tcPr>
            <w:tcW w:w="1858" w:type="dxa"/>
            <w:tcBorders>
              <w:top w:val="single" w:sz="4" w:space="0" w:color="auto"/>
              <w:left w:val="single" w:sz="4" w:space="0" w:color="auto"/>
              <w:bottom w:val="single" w:sz="4" w:space="0" w:color="auto"/>
              <w:right w:val="single" w:sz="4" w:space="0" w:color="auto"/>
            </w:tcBorders>
          </w:tcPr>
          <w:p w14:paraId="541AAAD2" w14:textId="287CF35C" w:rsidR="00E2263C" w:rsidRDefault="00044E4E" w:rsidP="008B5D53">
            <w:pPr>
              <w:pStyle w:val="S-Table-Cells"/>
              <w:rPr>
                <w:rFonts w:hint="eastAsia"/>
              </w:rPr>
            </w:pPr>
            <w:r>
              <w:t>2020-12-03</w:t>
            </w:r>
          </w:p>
        </w:tc>
        <w:tc>
          <w:tcPr>
            <w:tcW w:w="3785" w:type="dxa"/>
            <w:tcBorders>
              <w:top w:val="single" w:sz="4" w:space="0" w:color="auto"/>
              <w:left w:val="single" w:sz="4" w:space="0" w:color="auto"/>
              <w:bottom w:val="single" w:sz="4" w:space="0" w:color="auto"/>
              <w:right w:val="single" w:sz="4" w:space="0" w:color="auto"/>
            </w:tcBorders>
          </w:tcPr>
          <w:p w14:paraId="1E181614" w14:textId="303FE892" w:rsidR="00E2263C" w:rsidRDefault="00044E4E" w:rsidP="008B5D53">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1D13C44D" w14:textId="56D16D4B" w:rsidR="00E2263C" w:rsidRDefault="00044E4E" w:rsidP="008B5D53">
            <w:pPr>
              <w:pStyle w:val="S-Table-Cells"/>
              <w:rPr>
                <w:rFonts w:hint="eastAsia"/>
              </w:rPr>
            </w:pPr>
            <w:r>
              <w:t xml:space="preserve">Razvan </w:t>
            </w:r>
            <w:proofErr w:type="spellStart"/>
            <w:r>
              <w:t>Anghelidi</w:t>
            </w:r>
            <w:proofErr w:type="spellEnd"/>
          </w:p>
        </w:tc>
      </w:tr>
      <w:tr w:rsidR="009F7B92" w14:paraId="451349CB" w14:textId="77777777" w:rsidTr="008B5D53">
        <w:trPr>
          <w:trHeight w:val="319"/>
        </w:trPr>
        <w:tc>
          <w:tcPr>
            <w:tcW w:w="1398" w:type="dxa"/>
            <w:tcBorders>
              <w:top w:val="single" w:sz="4" w:space="0" w:color="auto"/>
              <w:left w:val="single" w:sz="4" w:space="0" w:color="auto"/>
              <w:bottom w:val="single" w:sz="4" w:space="0" w:color="auto"/>
              <w:right w:val="single" w:sz="4" w:space="0" w:color="auto"/>
            </w:tcBorders>
          </w:tcPr>
          <w:p w14:paraId="419B5B02" w14:textId="1D70D52D" w:rsidR="009F7B92" w:rsidRDefault="009F7B92" w:rsidP="008B5D53">
            <w:pPr>
              <w:pStyle w:val="S-Table-Cells"/>
            </w:pPr>
            <w:r>
              <w:t>1.12</w:t>
            </w:r>
          </w:p>
        </w:tc>
        <w:tc>
          <w:tcPr>
            <w:tcW w:w="1858" w:type="dxa"/>
            <w:tcBorders>
              <w:top w:val="single" w:sz="4" w:space="0" w:color="auto"/>
              <w:left w:val="single" w:sz="4" w:space="0" w:color="auto"/>
              <w:bottom w:val="single" w:sz="4" w:space="0" w:color="auto"/>
              <w:right w:val="single" w:sz="4" w:space="0" w:color="auto"/>
            </w:tcBorders>
          </w:tcPr>
          <w:p w14:paraId="7FFF27A0" w14:textId="2BC22E83" w:rsidR="009F7B92" w:rsidRDefault="009F7B92" w:rsidP="008B5D53">
            <w:pPr>
              <w:pStyle w:val="S-Table-Cells"/>
            </w:pPr>
            <w:r>
              <w:t>2021-12-12</w:t>
            </w:r>
          </w:p>
        </w:tc>
        <w:tc>
          <w:tcPr>
            <w:tcW w:w="3785" w:type="dxa"/>
            <w:tcBorders>
              <w:top w:val="single" w:sz="4" w:space="0" w:color="auto"/>
              <w:left w:val="single" w:sz="4" w:space="0" w:color="auto"/>
              <w:bottom w:val="single" w:sz="4" w:space="0" w:color="auto"/>
              <w:right w:val="single" w:sz="4" w:space="0" w:color="auto"/>
            </w:tcBorders>
          </w:tcPr>
          <w:p w14:paraId="7AA02566" w14:textId="52DB702C" w:rsidR="009F7B92" w:rsidRDefault="009F7B92" w:rsidP="008B5D53">
            <w:pPr>
              <w:pStyle w:val="S-Table-Cells"/>
            </w:pPr>
            <w:r>
              <w:t>Annual review</w:t>
            </w:r>
          </w:p>
        </w:tc>
        <w:tc>
          <w:tcPr>
            <w:tcW w:w="2492" w:type="dxa"/>
            <w:tcBorders>
              <w:top w:val="single" w:sz="4" w:space="0" w:color="auto"/>
              <w:left w:val="single" w:sz="4" w:space="0" w:color="auto"/>
              <w:bottom w:val="single" w:sz="4" w:space="0" w:color="auto"/>
              <w:right w:val="single" w:sz="4" w:space="0" w:color="auto"/>
            </w:tcBorders>
          </w:tcPr>
          <w:p w14:paraId="6CC7B90E" w14:textId="2683F5F1" w:rsidR="009F7B92" w:rsidRDefault="009F7B92" w:rsidP="008B5D53">
            <w:pPr>
              <w:pStyle w:val="S-Table-Cells"/>
            </w:pPr>
            <w:r>
              <w:t xml:space="preserve">Hadeel </w:t>
            </w:r>
            <w:proofErr w:type="spellStart"/>
            <w:r>
              <w:t>Alzuhairi</w:t>
            </w:r>
            <w:proofErr w:type="spellEnd"/>
            <w:r>
              <w:t xml:space="preserve"> </w:t>
            </w:r>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p w14:paraId="3889EDDF" w14:textId="77777777" w:rsidR="00BD3BF3" w:rsidRDefault="006D3875"/>
    <w:sectPr w:rsidR="00BD3BF3" w:rsidSect="008B5D53">
      <w:headerReference w:type="default" r:id="rId14"/>
      <w:pgSz w:w="12240" w:h="15840"/>
      <w:pgMar w:top="1843" w:right="1440" w:bottom="1440" w:left="1440" w:header="567"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D33A" w14:textId="77777777" w:rsidR="006D3875" w:rsidRDefault="006D3875" w:rsidP="00AE0465">
      <w:pPr>
        <w:spacing w:after="0" w:line="240" w:lineRule="auto"/>
      </w:pPr>
      <w:r>
        <w:separator/>
      </w:r>
    </w:p>
  </w:endnote>
  <w:endnote w:type="continuationSeparator" w:id="0">
    <w:p w14:paraId="4D99B5EB" w14:textId="77777777" w:rsidR="006D3875" w:rsidRDefault="006D3875"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29013E" w:rsidRDefault="006D3875" w:rsidP="00DE6ED7">
    <w:pPr>
      <w:pStyle w:val="Footer"/>
      <w:rPr>
        <w:rFonts w:ascii="Helvetica" w:eastAsia="Arial Unicode MS" w:hAnsi="Helvetica" w:cs="Arial Unicode MS"/>
        <w:color w:val="000000"/>
        <w:sz w:val="20"/>
        <w:szCs w:val="20"/>
        <w:bdr w:val="nil"/>
        <w:lang w:eastAsia="en-CA"/>
      </w:rPr>
    </w:pPr>
  </w:p>
  <w:p w14:paraId="126B1610" w14:textId="24353AD9" w:rsidR="00EE0B3C" w:rsidRPr="0029013E" w:rsidRDefault="006D3875"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29013E">
      <w:rPr>
        <w:rFonts w:ascii="Helvetica" w:eastAsia="Arial Unicode MS" w:hAnsi="Helvetica" w:cs="Arial Unicode MS"/>
        <w:color w:val="000000"/>
        <w:sz w:val="20"/>
        <w:szCs w:val="20"/>
        <w:bdr w:val="nil"/>
        <w:lang w:eastAsia="en-CA"/>
      </w:rPr>
      <w:t xml:space="preserve"> </w:t>
    </w:r>
    <w:r w:rsidR="000374A3" w:rsidRPr="0029013E">
      <w:rPr>
        <w:rFonts w:ascii="Helvetica" w:eastAsia="Arial Unicode MS" w:hAnsi="Helvetica" w:cs="Arial Unicode MS"/>
        <w:color w:val="000000"/>
        <w:sz w:val="20"/>
        <w:szCs w:val="20"/>
        <w:bdr w:val="nil"/>
        <w:lang w:eastAsia="en-CA"/>
      </w:rPr>
      <w:t>Virus and Malware Protection Policy</w:t>
    </w:r>
    <w:r w:rsidR="00C62AE5" w:rsidRPr="0029013E">
      <w:rPr>
        <w:rFonts w:ascii="Helvetica" w:eastAsia="Arial Unicode MS" w:hAnsi="Helvetica" w:cs="Arial Unicode MS"/>
        <w:color w:val="000000"/>
        <w:sz w:val="20"/>
        <w:szCs w:val="20"/>
        <w:bdr w:val="nil"/>
        <w:lang w:eastAsia="en-CA"/>
      </w:rPr>
      <w:tab/>
    </w:r>
    <w:r w:rsidR="00C62AE5" w:rsidRPr="0029013E">
      <w:rPr>
        <w:rFonts w:ascii="Helvetica" w:eastAsia="Arial Unicode MS" w:hAnsi="Helvetica" w:cs="Arial Unicode MS"/>
        <w:color w:val="000000"/>
        <w:sz w:val="20"/>
        <w:szCs w:val="20"/>
        <w:bdr w:val="nil"/>
        <w:lang w:eastAsia="en-CA"/>
      </w:rPr>
      <w:fldChar w:fldCharType="begin"/>
    </w:r>
    <w:r w:rsidR="00C62AE5" w:rsidRPr="0029013E">
      <w:rPr>
        <w:rFonts w:ascii="Helvetica" w:eastAsia="Arial Unicode MS" w:hAnsi="Helvetica" w:cs="Arial Unicode MS"/>
        <w:color w:val="000000"/>
        <w:sz w:val="20"/>
        <w:szCs w:val="20"/>
        <w:bdr w:val="nil"/>
        <w:lang w:eastAsia="en-CA"/>
      </w:rPr>
      <w:instrText xml:space="preserve"> PAGE   \* MERGEFORMAT </w:instrText>
    </w:r>
    <w:r w:rsidR="00C62AE5" w:rsidRPr="0029013E">
      <w:rPr>
        <w:rFonts w:ascii="Helvetica" w:eastAsia="Arial Unicode MS" w:hAnsi="Helvetica" w:cs="Arial Unicode MS"/>
        <w:color w:val="000000"/>
        <w:sz w:val="20"/>
        <w:szCs w:val="20"/>
        <w:bdr w:val="nil"/>
        <w:lang w:eastAsia="en-CA"/>
      </w:rPr>
      <w:fldChar w:fldCharType="separate"/>
    </w:r>
    <w:r w:rsidR="00C62AE5" w:rsidRPr="0029013E">
      <w:rPr>
        <w:rFonts w:ascii="Helvetica" w:eastAsia="Arial Unicode MS" w:hAnsi="Helvetica" w:cs="Arial Unicode MS"/>
        <w:color w:val="000000"/>
        <w:sz w:val="20"/>
        <w:szCs w:val="20"/>
        <w:bdr w:val="nil"/>
        <w:lang w:eastAsia="en-CA"/>
      </w:rPr>
      <w:t>i</w:t>
    </w:r>
    <w:proofErr w:type="spellStart"/>
    <w:r w:rsidR="00C62AE5" w:rsidRPr="0029013E">
      <w:rPr>
        <w:rFonts w:ascii="Helvetica" w:eastAsia="Arial Unicode MS" w:hAnsi="Helvetica" w:cs="Arial Unicode MS"/>
        <w:color w:val="000000"/>
        <w:sz w:val="20"/>
        <w:szCs w:val="20"/>
        <w:bdr w:val="nil"/>
        <w:lang w:eastAsia="en-CA"/>
      </w:rPr>
      <w:t>i</w:t>
    </w:r>
    <w:proofErr w:type="spellEnd"/>
    <w:r w:rsidR="00C62AE5" w:rsidRPr="0029013E">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63301" w14:textId="77777777" w:rsidR="006D3875" w:rsidRDefault="006D3875" w:rsidP="00AE0465">
      <w:pPr>
        <w:spacing w:after="0" w:line="240" w:lineRule="auto"/>
      </w:pPr>
      <w:r>
        <w:separator/>
      </w:r>
    </w:p>
  </w:footnote>
  <w:footnote w:type="continuationSeparator" w:id="0">
    <w:p w14:paraId="5656C268" w14:textId="77777777" w:rsidR="006D3875" w:rsidRDefault="006D3875"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36FFC5CD" w:rsidR="00EE0B3C" w:rsidRDefault="008B5D53" w:rsidP="008B5D53">
    <w:pPr>
      <w:pStyle w:val="Header"/>
      <w:ind w:hanging="567"/>
    </w:pPr>
    <w:r>
      <w:rPr>
        <w:noProof/>
      </w:rPr>
      <w:drawing>
        <wp:inline distT="0" distB="0" distL="0" distR="0" wp14:anchorId="0D54105C" wp14:editId="6D044674">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644D6719" w:rsidR="00EE0B3C" w:rsidRDefault="008B5D53" w:rsidP="008B5D53">
    <w:pPr>
      <w:pStyle w:val="Header"/>
      <w:ind w:hanging="567"/>
    </w:pPr>
    <w:r>
      <w:rPr>
        <w:noProof/>
      </w:rPr>
      <w:drawing>
        <wp:inline distT="0" distB="0" distL="0" distR="0" wp14:anchorId="087923B2" wp14:editId="2A5B0F93">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5AC"/>
    <w:multiLevelType w:val="multilevel"/>
    <w:tmpl w:val="F59C1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F102A2"/>
    <w:multiLevelType w:val="multilevel"/>
    <w:tmpl w:val="26501246"/>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5177D2"/>
    <w:multiLevelType w:val="hybridMultilevel"/>
    <w:tmpl w:val="26FE6B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3A017E49"/>
    <w:multiLevelType w:val="hybridMultilevel"/>
    <w:tmpl w:val="390280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8972C3"/>
    <w:multiLevelType w:val="multilevel"/>
    <w:tmpl w:val="020C02AE"/>
    <w:lvl w:ilvl="0">
      <w:start w:val="2"/>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845353"/>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3651FED"/>
    <w:multiLevelType w:val="hybridMultilevel"/>
    <w:tmpl w:val="193EC740"/>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14" w15:restartNumberingAfterBreak="0">
    <w:nsid w:val="5BF47305"/>
    <w:multiLevelType w:val="multilevel"/>
    <w:tmpl w:val="C62C050C"/>
    <w:lvl w:ilvl="0">
      <w:start w:val="1"/>
      <w:numFmt w:val="decimal"/>
      <w:lvlText w:val="%1"/>
      <w:lvlJc w:val="left"/>
      <w:pPr>
        <w:ind w:left="360" w:hanging="360"/>
      </w:pPr>
      <w:rPr>
        <w:rFonts w:hint="default"/>
      </w:rPr>
    </w:lvl>
    <w:lvl w:ilvl="1">
      <w:start w:val="1"/>
      <w:numFmt w:val="bullet"/>
      <w:lvlText w:val=""/>
      <w:lvlJc w:val="left"/>
      <w:pPr>
        <w:ind w:left="107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625530"/>
    <w:multiLevelType w:val="hybridMultilevel"/>
    <w:tmpl w:val="BB240E1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5D6F413B"/>
    <w:multiLevelType w:val="multilevel"/>
    <w:tmpl w:val="4EA47D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C04781"/>
    <w:multiLevelType w:val="multilevel"/>
    <w:tmpl w:val="26501246"/>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EA7C87"/>
    <w:multiLevelType w:val="hybridMultilevel"/>
    <w:tmpl w:val="3F785E9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9" w15:restartNumberingAfterBreak="0">
    <w:nsid w:val="6BC126CD"/>
    <w:multiLevelType w:val="multilevel"/>
    <w:tmpl w:val="265012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90516EF"/>
    <w:multiLevelType w:val="multilevel"/>
    <w:tmpl w:val="265012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
  </w:num>
  <w:num w:numId="3">
    <w:abstractNumId w:val="8"/>
  </w:num>
  <w:num w:numId="4">
    <w:abstractNumId w:val="6"/>
  </w:num>
  <w:num w:numId="5">
    <w:abstractNumId w:val="20"/>
  </w:num>
  <w:num w:numId="6">
    <w:abstractNumId w:val="5"/>
  </w:num>
  <w:num w:numId="7">
    <w:abstractNumId w:val="9"/>
  </w:num>
  <w:num w:numId="8">
    <w:abstractNumId w:val="3"/>
  </w:num>
  <w:num w:numId="9">
    <w:abstractNumId w:val="15"/>
  </w:num>
  <w:num w:numId="10">
    <w:abstractNumId w:val="21"/>
  </w:num>
  <w:num w:numId="11">
    <w:abstractNumId w:val="18"/>
  </w:num>
  <w:num w:numId="12">
    <w:abstractNumId w:val="10"/>
  </w:num>
  <w:num w:numId="13">
    <w:abstractNumId w:val="0"/>
  </w:num>
  <w:num w:numId="14">
    <w:abstractNumId w:val="16"/>
  </w:num>
  <w:num w:numId="15">
    <w:abstractNumId w:val="13"/>
  </w:num>
  <w:num w:numId="16">
    <w:abstractNumId w:val="4"/>
  </w:num>
  <w:num w:numId="17">
    <w:abstractNumId w:val="7"/>
  </w:num>
  <w:num w:numId="18">
    <w:abstractNumId w:val="12"/>
  </w:num>
  <w:num w:numId="19">
    <w:abstractNumId w:val="19"/>
  </w:num>
  <w:num w:numId="20">
    <w:abstractNumId w:val="17"/>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374A3"/>
    <w:rsid w:val="00044E4E"/>
    <w:rsid w:val="00073D6D"/>
    <w:rsid w:val="00083CDE"/>
    <w:rsid w:val="00087534"/>
    <w:rsid w:val="000D6161"/>
    <w:rsid w:val="00151008"/>
    <w:rsid w:val="00182502"/>
    <w:rsid w:val="001976C9"/>
    <w:rsid w:val="001A585D"/>
    <w:rsid w:val="001F5D0D"/>
    <w:rsid w:val="00222C85"/>
    <w:rsid w:val="00234BDF"/>
    <w:rsid w:val="002813F1"/>
    <w:rsid w:val="0029013E"/>
    <w:rsid w:val="00294333"/>
    <w:rsid w:val="002A52BC"/>
    <w:rsid w:val="00312A74"/>
    <w:rsid w:val="00363915"/>
    <w:rsid w:val="00365B84"/>
    <w:rsid w:val="004445C1"/>
    <w:rsid w:val="004540F8"/>
    <w:rsid w:val="004642EC"/>
    <w:rsid w:val="005A2BE3"/>
    <w:rsid w:val="005D778C"/>
    <w:rsid w:val="005F53AB"/>
    <w:rsid w:val="00636B58"/>
    <w:rsid w:val="00685705"/>
    <w:rsid w:val="00696DA3"/>
    <w:rsid w:val="006A78E4"/>
    <w:rsid w:val="006D235B"/>
    <w:rsid w:val="006D3875"/>
    <w:rsid w:val="00823A04"/>
    <w:rsid w:val="008308F6"/>
    <w:rsid w:val="008968D9"/>
    <w:rsid w:val="008B5D53"/>
    <w:rsid w:val="008E5A98"/>
    <w:rsid w:val="008F34E0"/>
    <w:rsid w:val="00965E2E"/>
    <w:rsid w:val="0098192A"/>
    <w:rsid w:val="009F5705"/>
    <w:rsid w:val="009F7B92"/>
    <w:rsid w:val="00A769C3"/>
    <w:rsid w:val="00AA56A4"/>
    <w:rsid w:val="00AD6B04"/>
    <w:rsid w:val="00AE0465"/>
    <w:rsid w:val="00AE647D"/>
    <w:rsid w:val="00B10293"/>
    <w:rsid w:val="00B134A4"/>
    <w:rsid w:val="00B64541"/>
    <w:rsid w:val="00B64BFF"/>
    <w:rsid w:val="00B6545E"/>
    <w:rsid w:val="00B83E08"/>
    <w:rsid w:val="00C125CD"/>
    <w:rsid w:val="00C32B04"/>
    <w:rsid w:val="00C62AE5"/>
    <w:rsid w:val="00C857ED"/>
    <w:rsid w:val="00CA48E4"/>
    <w:rsid w:val="00CD35EE"/>
    <w:rsid w:val="00D87789"/>
    <w:rsid w:val="00DE4E78"/>
    <w:rsid w:val="00E2263C"/>
    <w:rsid w:val="00E22C5E"/>
    <w:rsid w:val="00EF2307"/>
    <w:rsid w:val="00F757B3"/>
    <w:rsid w:val="00F8360C"/>
    <w:rsid w:val="00FA2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696DA3"/>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29013E"/>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29013E"/>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29013E"/>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29013E"/>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29013E"/>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29013E"/>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29013E"/>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62007D-398A-4C67-B0B5-9CC9B2D6E5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3002C8-6F6D-4E06-B31E-D94398551B42}"/>
</file>

<file path=customXml/itemProps3.xml><?xml version="1.0" encoding="utf-8"?>
<ds:datastoreItem xmlns:ds="http://schemas.openxmlformats.org/officeDocument/2006/customXml" ds:itemID="{00C6C394-DDDF-42C6-B73A-AEA33BA7AF67}">
  <ds:schemaRefs>
    <ds:schemaRef ds:uri="http://schemas.openxmlformats.org/officeDocument/2006/bibliography"/>
  </ds:schemaRefs>
</ds:datastoreItem>
</file>

<file path=customXml/itemProps4.xml><?xml version="1.0" encoding="utf-8"?>
<ds:datastoreItem xmlns:ds="http://schemas.openxmlformats.org/officeDocument/2006/customXml" ds:itemID="{7BFD5C60-5844-4FE3-A67E-665ACDE87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15</cp:revision>
  <cp:lastPrinted>2020-12-09T20:09:00Z</cp:lastPrinted>
  <dcterms:created xsi:type="dcterms:W3CDTF">2022-02-16T20:05:00Z</dcterms:created>
  <dcterms:modified xsi:type="dcterms:W3CDTF">2022-02-16T20:20:00Z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212800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