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6B132" w14:textId="77777777" w:rsidR="00FF4BA2" w:rsidRPr="00FF4BA2" w:rsidRDefault="00FF4BA2" w:rsidP="00FF4BA2">
      <w:pPr>
        <w:pStyle w:val="Heading1"/>
        <w:jc w:val="center"/>
      </w:pPr>
      <w:r w:rsidRPr="00FF4BA2">
        <w:t>Linking Hourly Climate Data to Weekly Health Outcomes: A Sri Lanka Guide and Methods Note</w:t>
      </w:r>
    </w:p>
    <w:p w14:paraId="30D8B4D0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i/>
          <w:iCs/>
          <w:sz w:val="20"/>
          <w:szCs w:val="20"/>
        </w:rPr>
        <w:t>Author: Jordan Clark, PhD (DGHI / Klimo Insights)</w:t>
      </w:r>
    </w:p>
    <w:p w14:paraId="268DDE55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Who this is for.</w:t>
      </w:r>
      <w:r w:rsidRPr="00FF4BA2">
        <w:rPr>
          <w:rFonts w:ascii="Noto Sans" w:hAnsi="Noto Sans" w:cs="Noto Sans"/>
          <w:sz w:val="20"/>
          <w:szCs w:val="20"/>
        </w:rPr>
        <w:t xml:space="preserve"> Epidemiologists and public-health analysts who want to add climate context to weekly surveillance data (e.g., leptospirosis, dengue) without assuming prior expertise in meteorology or GIS.</w:t>
      </w:r>
    </w:p>
    <w:p w14:paraId="2B972B30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What you will learn.</w:t>
      </w:r>
      <w:r w:rsidRPr="00FF4BA2">
        <w:rPr>
          <w:rFonts w:ascii="Noto Sans" w:hAnsi="Noto Sans" w:cs="Noto Sans"/>
          <w:sz w:val="20"/>
          <w:szCs w:val="20"/>
        </w:rPr>
        <w:t xml:space="preserve"> How to turn hourly gridded climate data into epidemiology-ready weekly features at the district level, why each step is necessary, where errors creep in, and how to avoid common pitfalls when modeling delayed and seasonal climate–health relationships.</w:t>
      </w:r>
    </w:p>
    <w:p w14:paraId="360B5DF7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505246ED" w14:textId="77777777" w:rsidR="00FF4BA2" w:rsidRPr="00FF4BA2" w:rsidRDefault="00FF4BA2" w:rsidP="00FF4BA2">
      <w:pPr>
        <w:pStyle w:val="Heading1"/>
      </w:pPr>
      <w:r w:rsidRPr="00FF4BA2">
        <w:t>1) Why this is tricky—and how we bridge the clocks</w:t>
      </w:r>
    </w:p>
    <w:p w14:paraId="7F77DBBE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Health surveillance is typically published by </w:t>
      </w:r>
      <w:r w:rsidRPr="00FF4BA2">
        <w:rPr>
          <w:rFonts w:ascii="Noto Sans" w:hAnsi="Noto Sans" w:cs="Noto Sans"/>
          <w:b/>
          <w:bCs/>
          <w:sz w:val="20"/>
          <w:szCs w:val="20"/>
        </w:rPr>
        <w:t>epidemiological week</w:t>
      </w:r>
      <w:r w:rsidRPr="00FF4BA2">
        <w:rPr>
          <w:rFonts w:ascii="Noto Sans" w:hAnsi="Noto Sans" w:cs="Noto Sans"/>
          <w:sz w:val="20"/>
          <w:szCs w:val="20"/>
        </w:rPr>
        <w:t xml:space="preserve">, whereas modern climate comes </w:t>
      </w:r>
      <w:r w:rsidRPr="00FF4BA2">
        <w:rPr>
          <w:rFonts w:ascii="Noto Sans" w:hAnsi="Noto Sans" w:cs="Noto Sans"/>
          <w:b/>
          <w:bCs/>
          <w:sz w:val="20"/>
          <w:szCs w:val="20"/>
        </w:rPr>
        <w:t>hourly</w:t>
      </w:r>
      <w:r w:rsidRPr="00FF4BA2">
        <w:rPr>
          <w:rFonts w:ascii="Noto Sans" w:hAnsi="Noto Sans" w:cs="Noto Sans"/>
          <w:sz w:val="20"/>
          <w:szCs w:val="20"/>
        </w:rPr>
        <w:t xml:space="preserve"> on a fixed latitude–longitude grid. If you aggregate climate in the wrong time zone, or average the wrong quantities, storms can be pushed into the wrong </w:t>
      </w:r>
      <w:proofErr w:type="gramStart"/>
      <w:r w:rsidRPr="00FF4BA2">
        <w:rPr>
          <w:rFonts w:ascii="Noto Sans" w:hAnsi="Noto Sans" w:cs="Noto Sans"/>
          <w:sz w:val="20"/>
          <w:szCs w:val="20"/>
        </w:rPr>
        <w:t>week</w:t>
      </w:r>
      <w:proofErr w:type="gramEnd"/>
      <w:r w:rsidRPr="00FF4BA2">
        <w:rPr>
          <w:rFonts w:ascii="Noto Sans" w:hAnsi="Noto Sans" w:cs="Noto Sans"/>
          <w:sz w:val="20"/>
          <w:szCs w:val="20"/>
        </w:rPr>
        <w:t xml:space="preserve"> and biologically important signals (like peak heat or multi-day rainfall bursts) get diluted. Our approach resolves the mismatch in two stages. First, we convert hourly grid data into </w:t>
      </w:r>
      <w:r w:rsidRPr="00FF4BA2">
        <w:rPr>
          <w:rFonts w:ascii="Noto Sans" w:hAnsi="Noto Sans" w:cs="Noto Sans"/>
          <w:b/>
          <w:bCs/>
          <w:sz w:val="20"/>
          <w:szCs w:val="20"/>
        </w:rPr>
        <w:t>district–day</w:t>
      </w:r>
      <w:r w:rsidRPr="00FF4BA2">
        <w:rPr>
          <w:rFonts w:ascii="Noto Sans" w:hAnsi="Noto Sans" w:cs="Noto Sans"/>
          <w:sz w:val="20"/>
          <w:szCs w:val="20"/>
        </w:rPr>
        <w:t xml:space="preserve"> summaries using </w:t>
      </w:r>
      <w:r w:rsidRPr="00FF4BA2">
        <w:rPr>
          <w:rFonts w:ascii="Noto Sans" w:hAnsi="Noto Sans" w:cs="Noto Sans"/>
          <w:b/>
          <w:bCs/>
          <w:sz w:val="20"/>
          <w:szCs w:val="20"/>
        </w:rPr>
        <w:t xml:space="preserve">area-weighted </w:t>
      </w:r>
      <w:proofErr w:type="gramStart"/>
      <w:r w:rsidRPr="00FF4BA2">
        <w:rPr>
          <w:rFonts w:ascii="Noto Sans" w:hAnsi="Noto Sans" w:cs="Noto Sans"/>
          <w:b/>
          <w:bCs/>
          <w:sz w:val="20"/>
          <w:szCs w:val="20"/>
        </w:rPr>
        <w:t>overlays</w:t>
      </w:r>
      <w:proofErr w:type="gramEnd"/>
      <w:r w:rsidRPr="00FF4BA2">
        <w:rPr>
          <w:rFonts w:ascii="Noto Sans" w:hAnsi="Noto Sans" w:cs="Noto Sans"/>
          <w:sz w:val="20"/>
          <w:szCs w:val="20"/>
        </w:rPr>
        <w:t xml:space="preserve"> so each grid cell contributes in proportion to the land area that falls inside a district (a standard remedy for spatial misalignment and a practical guard against MAUP-related distortions; Fotheringham &amp; Wong, 1991;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Gryparis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et al., 2009). Second, we align those daily summaries to the </w:t>
      </w:r>
      <w:r w:rsidRPr="00FF4BA2">
        <w:rPr>
          <w:rFonts w:ascii="Noto Sans" w:hAnsi="Noto Sans" w:cs="Noto Sans"/>
          <w:b/>
          <w:bCs/>
          <w:sz w:val="20"/>
          <w:szCs w:val="20"/>
        </w:rPr>
        <w:t>exact week boundaries used in surveillance</w:t>
      </w:r>
      <w:r w:rsidRPr="00FF4BA2">
        <w:rPr>
          <w:rFonts w:ascii="Noto Sans" w:hAnsi="Noto Sans" w:cs="Noto Sans"/>
          <w:sz w:val="20"/>
          <w:szCs w:val="20"/>
        </w:rPr>
        <w:t xml:space="preserve"> (for Sri Lanka’s WER, a Saturday–Friday week ending on the reported Friday date) and construct weekly features that capture both background conditions and events (e.g., the largest three-day rainfall within the week). Throughout, we convert timestamps to </w:t>
      </w:r>
      <w:r w:rsidRPr="00FF4BA2">
        <w:rPr>
          <w:rFonts w:ascii="Noto Sans" w:hAnsi="Noto Sans" w:cs="Noto Sans"/>
          <w:b/>
          <w:bCs/>
          <w:sz w:val="20"/>
          <w:szCs w:val="20"/>
        </w:rPr>
        <w:t>local time (Asia/Colombo, UTC+5:30)</w:t>
      </w:r>
      <w:r w:rsidRPr="00FF4BA2">
        <w:rPr>
          <w:rFonts w:ascii="Noto Sans" w:hAnsi="Noto Sans" w:cs="Noto Sans"/>
          <w:sz w:val="20"/>
          <w:szCs w:val="20"/>
        </w:rPr>
        <w:t xml:space="preserve"> before any daily or weekly roll-ups to prevent “day-splitting” of nighttime storms.</w:t>
      </w:r>
    </w:p>
    <w:p w14:paraId="34360C93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Reanalysis temperature fields are typically strong; precipitation in the tropics is more uncertain, so effect sizes for rainfall should be interpreted with appropriate caution (Simmons et al., 2018; Tran et al., 2019). Residual exposure error from spatial misalignment (even after area weighting) can attenuate associations, especially for noisy variables like precipitation (Carroll et al., 2006;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Gryparis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et al., 2009).</w:t>
      </w:r>
    </w:p>
    <w:p w14:paraId="18CBD096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188D2352" w14:textId="77777777" w:rsidR="00FF4BA2" w:rsidRPr="00FF4BA2" w:rsidRDefault="00FF4BA2" w:rsidP="00FF4BA2">
      <w:pPr>
        <w:pStyle w:val="Heading1"/>
      </w:pPr>
      <w:r w:rsidRPr="00FF4BA2">
        <w:t>2) The datasets, in plain language</w:t>
      </w:r>
    </w:p>
    <w:p w14:paraId="7990B1F0" w14:textId="77777777" w:rsidR="00FF4BA2" w:rsidRPr="00FF4BA2" w:rsidRDefault="00FF4BA2" w:rsidP="00FF4BA2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Health.</w:t>
      </w:r>
      <w:r w:rsidRPr="00FF4BA2">
        <w:rPr>
          <w:rFonts w:ascii="Noto Sans" w:hAnsi="Noto Sans" w:cs="Noto Sans"/>
          <w:sz w:val="20"/>
          <w:szCs w:val="20"/>
        </w:rPr>
        <w:t xml:space="preserve"> Weekly case counts by district from Sri Lanka’s </w:t>
      </w:r>
      <w:r w:rsidRPr="00FF4BA2">
        <w:rPr>
          <w:rFonts w:ascii="Noto Sans" w:hAnsi="Noto Sans" w:cs="Noto Sans"/>
          <w:i/>
          <w:iCs/>
          <w:sz w:val="20"/>
          <w:szCs w:val="20"/>
        </w:rPr>
        <w:t>Weekly Epidemiological Reports (WER)</w:t>
      </w:r>
      <w:r w:rsidRPr="00FF4BA2">
        <w:rPr>
          <w:rFonts w:ascii="Noto Sans" w:hAnsi="Noto Sans" w:cs="Noto Sans"/>
          <w:sz w:val="20"/>
          <w:szCs w:val="20"/>
        </w:rPr>
        <w:t>. Each record carries a district name and a week-ending date. We harmonize district names (e.g., standardizing “Nuwara-Eliya”) so merges are lossless.</w:t>
      </w:r>
    </w:p>
    <w:p w14:paraId="3F074A62" w14:textId="77777777" w:rsidR="00FF4BA2" w:rsidRPr="00FF4BA2" w:rsidRDefault="00FF4BA2" w:rsidP="00FF4BA2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Climate.</w:t>
      </w:r>
      <w:r w:rsidRPr="00FF4BA2">
        <w:rPr>
          <w:rFonts w:ascii="Noto Sans" w:hAnsi="Noto Sans" w:cs="Noto Sans"/>
          <w:sz w:val="20"/>
          <w:szCs w:val="20"/>
        </w:rPr>
        <w:t xml:space="preserve"> ERA5 reanalysis at hourly resolution on a ~0.25° grid. We use air temperature (ta), dew point (td), wind, downward shortwave radiation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ssrd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), and precipitation. ERA5 provides </w:t>
      </w:r>
      <w:r w:rsidRPr="00FF4BA2">
        <w:rPr>
          <w:rFonts w:ascii="Noto Sans" w:hAnsi="Noto Sans" w:cs="Noto Sans"/>
          <w:b/>
          <w:bCs/>
          <w:sz w:val="20"/>
          <w:szCs w:val="20"/>
        </w:rPr>
        <w:t xml:space="preserve">two precipitation </w:t>
      </w:r>
      <w:proofErr w:type="gramStart"/>
      <w:r w:rsidRPr="00FF4BA2">
        <w:rPr>
          <w:rFonts w:ascii="Noto Sans" w:hAnsi="Noto Sans" w:cs="Noto Sans"/>
          <w:b/>
          <w:bCs/>
          <w:sz w:val="20"/>
          <w:szCs w:val="20"/>
        </w:rPr>
        <w:t>series</w:t>
      </w:r>
      <w:proofErr w:type="gramEnd"/>
      <w:r w:rsidRPr="00FF4BA2">
        <w:rPr>
          <w:rFonts w:ascii="Noto Sans" w:hAnsi="Noto Sans" w:cs="Noto Sans"/>
          <w:sz w:val="20"/>
          <w:szCs w:val="20"/>
        </w:rPr>
        <w:t xml:space="preserve"> and they are not the same:</w:t>
      </w:r>
    </w:p>
    <w:p w14:paraId="15BD77BB" w14:textId="77777777" w:rsidR="00FF4BA2" w:rsidRPr="00FF4BA2" w:rsidRDefault="00FF4BA2" w:rsidP="00FF4BA2">
      <w:pPr>
        <w:numPr>
          <w:ilvl w:val="1"/>
          <w:numId w:val="10"/>
        </w:numPr>
        <w:spacing w:line="240" w:lineRule="auto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b/>
          <w:bCs/>
          <w:sz w:val="20"/>
          <w:szCs w:val="20"/>
        </w:rPr>
        <w:t>tp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(“total precipitation”): an accumulated depth; once converted from meters, daily sums express </w:t>
      </w:r>
      <w:r w:rsidRPr="00FF4BA2">
        <w:rPr>
          <w:rFonts w:ascii="Noto Sans" w:hAnsi="Noto Sans" w:cs="Noto Sans"/>
          <w:b/>
          <w:bCs/>
          <w:sz w:val="20"/>
          <w:szCs w:val="20"/>
        </w:rPr>
        <w:t>mm/day</w:t>
      </w:r>
      <w:r w:rsidRPr="00FF4BA2">
        <w:rPr>
          <w:rFonts w:ascii="Noto Sans" w:hAnsi="Noto Sans" w:cs="Noto Sans"/>
          <w:sz w:val="20"/>
          <w:szCs w:val="20"/>
        </w:rPr>
        <w:t xml:space="preserve"> and weekly sums express </w:t>
      </w:r>
      <w:r w:rsidRPr="00FF4BA2">
        <w:rPr>
          <w:rFonts w:ascii="Noto Sans" w:hAnsi="Noto Sans" w:cs="Noto Sans"/>
          <w:b/>
          <w:bCs/>
          <w:sz w:val="20"/>
          <w:szCs w:val="20"/>
        </w:rPr>
        <w:t>mm/week</w:t>
      </w:r>
      <w:r w:rsidRPr="00FF4BA2">
        <w:rPr>
          <w:rFonts w:ascii="Noto Sans" w:hAnsi="Noto Sans" w:cs="Noto Sans"/>
          <w:sz w:val="20"/>
          <w:szCs w:val="20"/>
        </w:rPr>
        <w:t>.</w:t>
      </w:r>
    </w:p>
    <w:p w14:paraId="0163883C" w14:textId="77777777" w:rsidR="00FF4BA2" w:rsidRDefault="00FF4BA2" w:rsidP="00FF4BA2">
      <w:pPr>
        <w:numPr>
          <w:ilvl w:val="1"/>
          <w:numId w:val="10"/>
        </w:numPr>
        <w:spacing w:line="240" w:lineRule="auto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b/>
          <w:bCs/>
          <w:sz w:val="20"/>
          <w:szCs w:val="20"/>
        </w:rPr>
        <w:lastRenderedPageBreak/>
        <w:t>mtpr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(“mean total precipitation rate”): an average rate; summing the rate over a day yields a comparable depth via the rate pathway.</w:t>
      </w:r>
    </w:p>
    <w:p w14:paraId="434B2BAA" w14:textId="66AC7724" w:rsidR="00FF4BA2" w:rsidRPr="00FF4BA2" w:rsidRDefault="00FF4BA2" w:rsidP="00FF4BA2">
      <w:pPr>
        <w:numPr>
          <w:ilvl w:val="1"/>
          <w:numId w:val="10"/>
        </w:num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We compute weekly sums for </w:t>
      </w:r>
      <w:r w:rsidRPr="00FF4BA2">
        <w:rPr>
          <w:rFonts w:ascii="Noto Sans" w:hAnsi="Noto Sans" w:cs="Noto Sans"/>
          <w:b/>
          <w:bCs/>
          <w:sz w:val="20"/>
          <w:szCs w:val="20"/>
        </w:rPr>
        <w:t>both</w:t>
      </w:r>
      <w:r w:rsidRPr="00FF4BA2">
        <w:rPr>
          <w:rFonts w:ascii="Noto Sans" w:hAnsi="Noto Sans" w:cs="Noto Sans"/>
          <w:sz w:val="20"/>
          <w:szCs w:val="20"/>
        </w:rPr>
        <w:t xml:space="preserve"> and cross-check magnitudes, clipping small negative artifacts to zero. Because “climatological normal” concepts are central to interpreting departures, we follow WMO guidance (WMO, 2017).</w:t>
      </w:r>
    </w:p>
    <w:p w14:paraId="35D6FE10" w14:textId="77777777" w:rsidR="00FF4BA2" w:rsidRPr="00FF4BA2" w:rsidRDefault="00FF4BA2" w:rsidP="00FF4BA2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Spatial boundaries.</w:t>
      </w:r>
      <w:r w:rsidRPr="00FF4BA2">
        <w:rPr>
          <w:rFonts w:ascii="Noto Sans" w:hAnsi="Noto Sans" w:cs="Noto Sans"/>
          <w:sz w:val="20"/>
          <w:szCs w:val="20"/>
        </w:rPr>
        <w:t xml:space="preserve"> Administrative districts (ADM2) from GADM. We validate geometry, standardize names, and compute overlaps in an </w:t>
      </w:r>
      <w:r w:rsidRPr="00FF4BA2">
        <w:rPr>
          <w:rFonts w:ascii="Noto Sans" w:hAnsi="Noto Sans" w:cs="Noto Sans"/>
          <w:b/>
          <w:bCs/>
          <w:sz w:val="20"/>
          <w:szCs w:val="20"/>
        </w:rPr>
        <w:t xml:space="preserve">equal-area </w:t>
      </w:r>
      <w:proofErr w:type="gramStart"/>
      <w:r w:rsidRPr="00FF4BA2">
        <w:rPr>
          <w:rFonts w:ascii="Noto Sans" w:hAnsi="Noto Sans" w:cs="Noto Sans"/>
          <w:b/>
          <w:bCs/>
          <w:sz w:val="20"/>
          <w:szCs w:val="20"/>
        </w:rPr>
        <w:t>projection</w:t>
      </w:r>
      <w:proofErr w:type="gramEnd"/>
      <w:r w:rsidRPr="00FF4BA2">
        <w:rPr>
          <w:rFonts w:ascii="Noto Sans" w:hAnsi="Noto Sans" w:cs="Noto Sans"/>
          <w:sz w:val="20"/>
          <w:szCs w:val="20"/>
        </w:rPr>
        <w:t xml:space="preserve"> so weights are in true square meters (a best practice for areal interpolation; Mennis, 2003).</w:t>
      </w:r>
    </w:p>
    <w:p w14:paraId="13DD7578" w14:textId="77777777" w:rsidR="00FF4BA2" w:rsidRPr="00FF4BA2" w:rsidRDefault="00FF4BA2" w:rsidP="00FF4BA2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Population (recommended).</w:t>
      </w:r>
      <w:r w:rsidRPr="00FF4BA2">
        <w:rPr>
          <w:rFonts w:ascii="Noto Sans" w:hAnsi="Noto Sans" w:cs="Noto Sans"/>
          <w:sz w:val="20"/>
          <w:szCs w:val="20"/>
        </w:rPr>
        <w:t xml:space="preserve"> Mid-year population by district to compute rates (per 100k) and to furnish an </w:t>
      </w:r>
      <w:r w:rsidRPr="00FF4BA2">
        <w:rPr>
          <w:rFonts w:ascii="Noto Sans" w:hAnsi="Noto Sans" w:cs="Noto Sans"/>
          <w:b/>
          <w:bCs/>
          <w:sz w:val="20"/>
          <w:szCs w:val="20"/>
        </w:rPr>
        <w:t>offset</w:t>
      </w:r>
      <w:r w:rsidRPr="00FF4BA2">
        <w:rPr>
          <w:rFonts w:ascii="Noto Sans" w:hAnsi="Noto Sans" w:cs="Noto Sans"/>
          <w:sz w:val="20"/>
          <w:szCs w:val="20"/>
        </w:rPr>
        <w:t xml:space="preserve"> in count models.</w:t>
      </w:r>
    </w:p>
    <w:p w14:paraId="31F04546" w14:textId="77777777" w:rsidR="00FF4BA2" w:rsidRPr="00FF4BA2" w:rsidRDefault="00FF4BA2" w:rsidP="00FF4BA2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Time zone.</w:t>
      </w:r>
      <w:r w:rsidRPr="00FF4BA2">
        <w:rPr>
          <w:rFonts w:ascii="Noto Sans" w:hAnsi="Noto Sans" w:cs="Noto Sans"/>
          <w:sz w:val="20"/>
          <w:szCs w:val="20"/>
        </w:rPr>
        <w:t xml:space="preserve"> ERA5 timestamps are in UTC; reporting is local. We shift to </w:t>
      </w:r>
      <w:r w:rsidRPr="00FF4BA2">
        <w:rPr>
          <w:rFonts w:ascii="Noto Sans" w:hAnsi="Noto Sans" w:cs="Noto Sans"/>
          <w:b/>
          <w:bCs/>
          <w:sz w:val="20"/>
          <w:szCs w:val="20"/>
        </w:rPr>
        <w:t>Asia/Colombo</w:t>
      </w:r>
      <w:r w:rsidRPr="00FF4BA2">
        <w:rPr>
          <w:rFonts w:ascii="Noto Sans" w:hAnsi="Noto Sans" w:cs="Noto Sans"/>
          <w:sz w:val="20"/>
          <w:szCs w:val="20"/>
        </w:rPr>
        <w:t xml:space="preserve"> before aggregations so days and weeks reflect local experience.</w:t>
      </w:r>
    </w:p>
    <w:p w14:paraId="2BA5BCB8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699E6F9C" w14:textId="4426026B" w:rsidR="00FF4BA2" w:rsidRPr="00FF4BA2" w:rsidRDefault="00FF4BA2" w:rsidP="00FF4BA2">
      <w:pPr>
        <w:pStyle w:val="Heading1"/>
      </w:pPr>
      <w:r w:rsidRPr="00FF4BA2">
        <w:t xml:space="preserve">3) Key ideas </w:t>
      </w:r>
      <w:r>
        <w:t>in this example workflow</w:t>
      </w:r>
    </w:p>
    <w:p w14:paraId="7E2CA410" w14:textId="77777777" w:rsidR="00FF4BA2" w:rsidRPr="00FF4BA2" w:rsidRDefault="00FF4BA2" w:rsidP="00FF4BA2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Grid cells versus districts.</w:t>
      </w:r>
      <w:r w:rsidRPr="00FF4BA2">
        <w:rPr>
          <w:rFonts w:ascii="Noto Sans" w:hAnsi="Noto Sans" w:cs="Noto Sans"/>
          <w:sz w:val="20"/>
          <w:szCs w:val="20"/>
        </w:rPr>
        <w:t xml:space="preserve"> Climate is gridded; surveillance is by district. We construct polygons for ERA5 grid cells from their </w:t>
      </w:r>
      <w:r w:rsidRPr="00FF4BA2">
        <w:rPr>
          <w:rFonts w:ascii="Noto Sans" w:hAnsi="Noto Sans" w:cs="Noto Sans"/>
          <w:b/>
          <w:bCs/>
          <w:sz w:val="20"/>
          <w:szCs w:val="20"/>
        </w:rPr>
        <w:t>center coordinates</w:t>
      </w:r>
      <w:r w:rsidRPr="00FF4BA2">
        <w:rPr>
          <w:rFonts w:ascii="Noto Sans" w:hAnsi="Noto Sans" w:cs="Noto Sans"/>
          <w:sz w:val="20"/>
          <w:szCs w:val="20"/>
        </w:rPr>
        <w:t>, intersect them with district polygons in an equal-area CRS (e.g., EPSG:6933), and compute the overlap area for each cell–district pair. Each cell contributes in proportion to that area. This prevents, for example, a large coastal cell (large in degrees but small in land area) from dominating an average (Mennis, 2003; Fotheringham &amp; Wong, 1991).</w:t>
      </w:r>
    </w:p>
    <w:p w14:paraId="119EE556" w14:textId="77777777" w:rsidR="00FF4BA2" w:rsidRPr="00FF4BA2" w:rsidRDefault="00FF4BA2" w:rsidP="00FF4BA2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Daily first, then weekly.</w:t>
      </w:r>
      <w:r w:rsidRPr="00FF4BA2">
        <w:rPr>
          <w:rFonts w:ascii="Noto Sans" w:hAnsi="Noto Sans" w:cs="Noto Sans"/>
          <w:sz w:val="20"/>
          <w:szCs w:val="20"/>
        </w:rPr>
        <w:t xml:space="preserve"> We compute </w:t>
      </w:r>
      <w:r w:rsidRPr="00FF4BA2">
        <w:rPr>
          <w:rFonts w:ascii="Noto Sans" w:hAnsi="Noto Sans" w:cs="Noto Sans"/>
          <w:b/>
          <w:bCs/>
          <w:sz w:val="20"/>
          <w:szCs w:val="20"/>
        </w:rPr>
        <w:t>cell-level daily</w:t>
      </w:r>
      <w:r w:rsidRPr="00FF4BA2">
        <w:rPr>
          <w:rFonts w:ascii="Noto Sans" w:hAnsi="Noto Sans" w:cs="Noto Sans"/>
          <w:sz w:val="20"/>
          <w:szCs w:val="20"/>
        </w:rPr>
        <w:t xml:space="preserve"> statistics (means for temperature, humidity proxies, radiation; min/max for daily extremes; </w:t>
      </w:r>
      <w:r w:rsidRPr="00FF4BA2">
        <w:rPr>
          <w:rFonts w:ascii="Noto Sans" w:hAnsi="Noto Sans" w:cs="Noto Sans"/>
          <w:b/>
          <w:bCs/>
          <w:sz w:val="20"/>
          <w:szCs w:val="20"/>
        </w:rPr>
        <w:t>sums</w:t>
      </w:r>
      <w:r w:rsidRPr="00FF4BA2">
        <w:rPr>
          <w:rFonts w:ascii="Noto Sans" w:hAnsi="Noto Sans" w:cs="Noto Sans"/>
          <w:sz w:val="20"/>
          <w:szCs w:val="20"/>
        </w:rPr>
        <w:t xml:space="preserve"> for precipitation), convert these to </w:t>
      </w:r>
      <w:r w:rsidRPr="00FF4BA2">
        <w:rPr>
          <w:rFonts w:ascii="Noto Sans" w:hAnsi="Noto Sans" w:cs="Noto Sans"/>
          <w:b/>
          <w:bCs/>
          <w:sz w:val="20"/>
          <w:szCs w:val="20"/>
        </w:rPr>
        <w:t>area-weighted district–day</w:t>
      </w:r>
      <w:r w:rsidRPr="00FF4BA2">
        <w:rPr>
          <w:rFonts w:ascii="Noto Sans" w:hAnsi="Noto Sans" w:cs="Noto Sans"/>
          <w:sz w:val="20"/>
          <w:szCs w:val="20"/>
        </w:rPr>
        <w:t xml:space="preserve"> values, and only then assemble </w:t>
      </w:r>
      <w:r w:rsidRPr="00FF4BA2">
        <w:rPr>
          <w:rFonts w:ascii="Noto Sans" w:hAnsi="Noto Sans" w:cs="Noto Sans"/>
          <w:b/>
          <w:bCs/>
          <w:sz w:val="20"/>
          <w:szCs w:val="20"/>
        </w:rPr>
        <w:t>district–week</w:t>
      </w:r>
      <w:r w:rsidRPr="00FF4BA2">
        <w:rPr>
          <w:rFonts w:ascii="Noto Sans" w:hAnsi="Noto Sans" w:cs="Noto Sans"/>
          <w:sz w:val="20"/>
          <w:szCs w:val="20"/>
        </w:rPr>
        <w:t xml:space="preserve"> features aligned to the epidemiological week.</w:t>
      </w:r>
    </w:p>
    <w:p w14:paraId="17D0E0E6" w14:textId="77777777" w:rsidR="00FF4BA2" w:rsidRPr="00FF4BA2" w:rsidRDefault="00FF4BA2" w:rsidP="00FF4BA2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Climatology and anomaly.</w:t>
      </w:r>
      <w:r w:rsidRPr="00FF4BA2">
        <w:rPr>
          <w:rFonts w:ascii="Noto Sans" w:hAnsi="Noto Sans" w:cs="Noto Sans"/>
          <w:sz w:val="20"/>
          <w:szCs w:val="20"/>
        </w:rPr>
        <w:t xml:space="preserve"> For each district and week-of-year we compute a long-run average (“climatology,” typically 1991–2020). Weekly </w:t>
      </w:r>
      <w:r w:rsidRPr="00FF4BA2">
        <w:rPr>
          <w:rFonts w:ascii="Noto Sans" w:hAnsi="Noto Sans" w:cs="Noto Sans"/>
          <w:b/>
          <w:bCs/>
          <w:sz w:val="20"/>
          <w:szCs w:val="20"/>
        </w:rPr>
        <w:t>anomaly</w:t>
      </w:r>
      <w:r w:rsidRPr="00FF4BA2">
        <w:rPr>
          <w:rFonts w:ascii="Noto Sans" w:hAnsi="Noto Sans" w:cs="Noto Sans"/>
          <w:sz w:val="20"/>
          <w:szCs w:val="20"/>
        </w:rPr>
        <w:t xml:space="preserve"> is the departure from that expected value, and </w:t>
      </w:r>
      <w:r w:rsidRPr="00FF4BA2">
        <w:rPr>
          <w:rFonts w:ascii="Noto Sans" w:hAnsi="Noto Sans" w:cs="Noto Sans"/>
          <w:b/>
          <w:bCs/>
          <w:sz w:val="20"/>
          <w:szCs w:val="20"/>
        </w:rPr>
        <w:t>percent-of-normal</w:t>
      </w:r>
      <w:r w:rsidRPr="00FF4BA2">
        <w:rPr>
          <w:rFonts w:ascii="Noto Sans" w:hAnsi="Noto Sans" w:cs="Noto Sans"/>
          <w:sz w:val="20"/>
          <w:szCs w:val="20"/>
        </w:rPr>
        <w:t xml:space="preserve"> is the ratio. Both are retained because levels and departures tell complementary stories (WMO, 2017; Zhang et al., 2011; Karl et al., 1999).</w:t>
      </w:r>
    </w:p>
    <w:p w14:paraId="468543EE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43508410" w14:textId="77777777" w:rsidR="00FF4BA2" w:rsidRPr="00FF4BA2" w:rsidRDefault="00FF4BA2" w:rsidP="00FF4BA2">
      <w:pPr>
        <w:pStyle w:val="Heading1"/>
      </w:pPr>
      <w:r w:rsidRPr="00FF4BA2">
        <w:t>4) Units, definitions, and what the columns mean</w:t>
      </w:r>
    </w:p>
    <w:p w14:paraId="02E72F9C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We keep variable names </w:t>
      </w:r>
      <w:proofErr w:type="gramStart"/>
      <w:r w:rsidRPr="00FF4BA2">
        <w:rPr>
          <w:rFonts w:ascii="Noto Sans" w:hAnsi="Noto Sans" w:cs="Noto Sans"/>
          <w:sz w:val="20"/>
          <w:szCs w:val="20"/>
        </w:rPr>
        <w:t>explicit</w:t>
      </w:r>
      <w:proofErr w:type="gramEnd"/>
      <w:r w:rsidRPr="00FF4BA2">
        <w:rPr>
          <w:rFonts w:ascii="Noto Sans" w:hAnsi="Noto Sans" w:cs="Noto Sans"/>
          <w:sz w:val="20"/>
          <w:szCs w:val="20"/>
        </w:rPr>
        <w:t xml:space="preserve"> so they map directly into your analysis tables.</w:t>
      </w:r>
    </w:p>
    <w:p w14:paraId="7A1A2652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Temperature (°C).</w:t>
      </w:r>
      <w:r w:rsidRPr="00FF4BA2">
        <w:rPr>
          <w:rFonts w:ascii="Noto Sans" w:hAnsi="Noto Sans" w:cs="Noto Sans"/>
          <w:sz w:val="20"/>
          <w:szCs w:val="20"/>
        </w:rPr>
        <w:t xml:space="preserve"> Daily district values include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ta_min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and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ta_max</w:t>
      </w:r>
      <w:proofErr w:type="spellEnd"/>
      <w:r w:rsidRPr="00FF4BA2">
        <w:rPr>
          <w:rFonts w:ascii="Noto Sans" w:hAnsi="Noto Sans" w:cs="Noto Sans"/>
          <w:sz w:val="20"/>
          <w:szCs w:val="20"/>
        </w:rPr>
        <w:t>. Weekly features include the week’s mean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tmean_mean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>), mean of daily maxima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tmax_mean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>), range (max minus min), and upper quantiles (e.g., tmax_p95). Extreme heat is mechanistically relevant for vector and host behavior (Vicedo-Cabrera et al., 2019).</w:t>
      </w:r>
    </w:p>
    <w:p w14:paraId="583D0FE6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Humidity and atmospheric dryness.</w:t>
      </w:r>
      <w:r w:rsidRPr="00FF4BA2">
        <w:rPr>
          <w:rFonts w:ascii="Noto Sans" w:hAnsi="Noto Sans" w:cs="Noto Sans"/>
          <w:sz w:val="20"/>
          <w:szCs w:val="20"/>
        </w:rPr>
        <w:t xml:space="preserve"> From ta and td we compute </w:t>
      </w:r>
      <w:r w:rsidRPr="00FF4BA2">
        <w:rPr>
          <w:rFonts w:ascii="Noto Sans" w:hAnsi="Noto Sans" w:cs="Noto Sans"/>
          <w:b/>
          <w:bCs/>
          <w:sz w:val="20"/>
          <w:szCs w:val="20"/>
        </w:rPr>
        <w:t>relative humidity</w:t>
      </w:r>
      <w:r w:rsidRPr="00FF4BA2">
        <w:rPr>
          <w:rFonts w:ascii="Noto Sans" w:hAnsi="Noto Sans" w:cs="Noto Sans"/>
          <w:sz w:val="20"/>
          <w:szCs w:val="20"/>
        </w:rPr>
        <w:t xml:space="preserve"> (rh) and </w:t>
      </w:r>
      <w:r w:rsidRPr="00FF4BA2">
        <w:rPr>
          <w:rFonts w:ascii="Noto Sans" w:hAnsi="Noto Sans" w:cs="Noto Sans"/>
          <w:b/>
          <w:bCs/>
          <w:sz w:val="20"/>
          <w:szCs w:val="20"/>
        </w:rPr>
        <w:t>vapor pressure deficit</w:t>
      </w:r>
      <w:r w:rsidRPr="00FF4BA2">
        <w:rPr>
          <w:rFonts w:ascii="Noto Sans" w:hAnsi="Noto Sans" w:cs="Noto Sans"/>
          <w:sz w:val="20"/>
          <w:szCs w:val="20"/>
        </w:rPr>
        <w:t xml:space="preserve">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vpd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kPa; higher is drier). Weekly features typically use </w:t>
      </w:r>
      <w:proofErr w:type="spellStart"/>
      <w:r w:rsidRPr="00FF4BA2">
        <w:rPr>
          <w:rFonts w:ascii="Noto Sans" w:hAnsi="Noto Sans" w:cs="Noto Sans"/>
          <w:sz w:val="20"/>
          <w:szCs w:val="20"/>
        </w:rPr>
        <w:t>rh_mean_week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and </w:t>
      </w:r>
      <w:proofErr w:type="spellStart"/>
      <w:r w:rsidRPr="00FF4BA2">
        <w:rPr>
          <w:rFonts w:ascii="Noto Sans" w:hAnsi="Noto Sans" w:cs="Noto Sans"/>
          <w:sz w:val="20"/>
          <w:szCs w:val="20"/>
        </w:rPr>
        <w:t>vpd_mean_week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. Avoid placing RH and VPD in the same model unless you have a strong </w:t>
      </w:r>
      <w:r w:rsidRPr="00FF4BA2">
        <w:rPr>
          <w:rFonts w:ascii="Noto Sans" w:hAnsi="Noto Sans" w:cs="Noto Sans"/>
          <w:sz w:val="20"/>
          <w:szCs w:val="20"/>
        </w:rPr>
        <w:lastRenderedPageBreak/>
        <w:t xml:space="preserve">reason; they are algebraically linked and can inflate uncertainty (Dormann et al., 2013;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Vatcheva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et al., 2016). VPD is increasingly recognized as a biologically meaningful dryness metric (Novick et al., 2016).</w:t>
      </w:r>
    </w:p>
    <w:p w14:paraId="3997E1EB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Solar radiation.</w:t>
      </w:r>
      <w:r w:rsidRPr="00FF4BA2">
        <w:rPr>
          <w:rFonts w:ascii="Noto Sans" w:hAnsi="Noto Sans" w:cs="Noto Sans"/>
          <w:sz w:val="20"/>
          <w:szCs w:val="20"/>
        </w:rPr>
        <w:t xml:space="preserve"> ERA5 </w:t>
      </w:r>
      <w:proofErr w:type="spellStart"/>
      <w:r w:rsidRPr="00FF4BA2">
        <w:rPr>
          <w:rFonts w:ascii="Noto Sans" w:hAnsi="Noto Sans" w:cs="Noto Sans"/>
          <w:sz w:val="20"/>
          <w:szCs w:val="20"/>
        </w:rPr>
        <w:t>ssrd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is converted to </w:t>
      </w:r>
      <w:r w:rsidRPr="00FF4BA2">
        <w:rPr>
          <w:rFonts w:ascii="Noto Sans" w:hAnsi="Noto Sans" w:cs="Noto Sans"/>
          <w:b/>
          <w:bCs/>
          <w:sz w:val="20"/>
          <w:szCs w:val="20"/>
        </w:rPr>
        <w:t>MJ m</w:t>
      </w:r>
      <w:r w:rsidRPr="00FF4BA2">
        <w:rPr>
          <w:rFonts w:ascii="Cambria Math" w:hAnsi="Cambria Math" w:cs="Cambria Math"/>
          <w:b/>
          <w:bCs/>
          <w:sz w:val="20"/>
          <w:szCs w:val="20"/>
        </w:rPr>
        <w:t>⁻</w:t>
      </w:r>
      <w:r w:rsidRPr="00FF4BA2">
        <w:rPr>
          <w:rFonts w:ascii="Noto Sans" w:hAnsi="Noto Sans" w:cs="Noto Sans"/>
          <w:b/>
          <w:bCs/>
          <w:sz w:val="20"/>
          <w:szCs w:val="20"/>
        </w:rPr>
        <w:t>² day</w:t>
      </w:r>
      <w:r w:rsidRPr="00FF4BA2">
        <w:rPr>
          <w:rFonts w:ascii="Cambria Math" w:hAnsi="Cambria Math" w:cs="Cambria Math"/>
          <w:b/>
          <w:bCs/>
          <w:sz w:val="20"/>
          <w:szCs w:val="20"/>
        </w:rPr>
        <w:t>⁻</w:t>
      </w:r>
      <w:r w:rsidRPr="00FF4BA2">
        <w:rPr>
          <w:rFonts w:ascii="Noto Sans" w:hAnsi="Noto Sans" w:cs="Noto Sans"/>
          <w:b/>
          <w:bCs/>
          <w:sz w:val="20"/>
          <w:szCs w:val="20"/>
        </w:rPr>
        <w:t>¹</w:t>
      </w:r>
      <w:r w:rsidRPr="00FF4BA2">
        <w:rPr>
          <w:rFonts w:ascii="Noto Sans" w:hAnsi="Noto Sans" w:cs="Noto Sans"/>
          <w:sz w:val="20"/>
          <w:szCs w:val="20"/>
        </w:rPr>
        <w:t>; the weekly feature is the mean of daily values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ssrd_MJ_mean_week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>). Radiation modulates temperature and surface moisture.</w:t>
      </w:r>
    </w:p>
    <w:p w14:paraId="12C2B569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Precipitation.</w:t>
      </w:r>
      <w:r w:rsidRPr="00FF4BA2">
        <w:rPr>
          <w:rFonts w:ascii="Noto Sans" w:hAnsi="Noto Sans" w:cs="Noto Sans"/>
          <w:sz w:val="20"/>
          <w:szCs w:val="20"/>
        </w:rPr>
        <w:t xml:space="preserve"> Daily totals include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tp_sum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and </w:t>
      </w:r>
      <w:proofErr w:type="spellStart"/>
      <w:r w:rsidRPr="00FF4BA2">
        <w:rPr>
          <w:rFonts w:ascii="Noto Sans" w:hAnsi="Noto Sans" w:cs="Noto Sans"/>
          <w:sz w:val="20"/>
          <w:szCs w:val="20"/>
        </w:rPr>
        <w:t>mtpr_sum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(both as </w:t>
      </w:r>
      <w:r w:rsidRPr="00FF4BA2">
        <w:rPr>
          <w:rFonts w:ascii="Noto Sans" w:hAnsi="Noto Sans" w:cs="Noto Sans"/>
          <w:b/>
          <w:bCs/>
          <w:sz w:val="20"/>
          <w:szCs w:val="20"/>
        </w:rPr>
        <w:t>mm/day</w:t>
      </w:r>
      <w:r w:rsidRPr="00FF4BA2">
        <w:rPr>
          <w:rFonts w:ascii="Noto Sans" w:hAnsi="Noto Sans" w:cs="Noto Sans"/>
          <w:sz w:val="20"/>
          <w:szCs w:val="20"/>
        </w:rPr>
        <w:t xml:space="preserve"> after conversion). Weekly features are sums over the week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precip_tp_sum_week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precip_mtpr_sum_week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). We also derive: the </w:t>
      </w:r>
      <w:r w:rsidRPr="00FF4BA2">
        <w:rPr>
          <w:rFonts w:ascii="Noto Sans" w:hAnsi="Noto Sans" w:cs="Noto Sans"/>
          <w:b/>
          <w:bCs/>
          <w:sz w:val="20"/>
          <w:szCs w:val="20"/>
        </w:rPr>
        <w:t>number of wet days</w:t>
      </w:r>
      <w:r w:rsidRPr="00FF4BA2">
        <w:rPr>
          <w:rFonts w:ascii="Noto Sans" w:hAnsi="Noto Sans" w:cs="Noto Sans"/>
          <w:sz w:val="20"/>
          <w:szCs w:val="20"/>
        </w:rPr>
        <w:t xml:space="preserve"> (e.g., days ≥ 10 mm; wet_days_ge10_tp), the </w:t>
      </w:r>
      <w:r w:rsidRPr="00FF4BA2">
        <w:rPr>
          <w:rFonts w:ascii="Noto Sans" w:hAnsi="Noto Sans" w:cs="Noto Sans"/>
          <w:b/>
          <w:bCs/>
          <w:sz w:val="20"/>
          <w:szCs w:val="20"/>
        </w:rPr>
        <w:t>largest three-day total</w:t>
      </w:r>
      <w:r w:rsidRPr="00FF4BA2">
        <w:rPr>
          <w:rFonts w:ascii="Noto Sans" w:hAnsi="Noto Sans" w:cs="Noto Sans"/>
          <w:sz w:val="20"/>
          <w:szCs w:val="20"/>
        </w:rPr>
        <w:t xml:space="preserve"> within the week (max3d_tp), and the </w:t>
      </w:r>
      <w:r w:rsidRPr="00FF4BA2">
        <w:rPr>
          <w:rFonts w:ascii="Noto Sans" w:hAnsi="Noto Sans" w:cs="Noto Sans"/>
          <w:b/>
          <w:bCs/>
          <w:sz w:val="20"/>
          <w:szCs w:val="20"/>
        </w:rPr>
        <w:t>longest wet spell</w:t>
      </w:r>
      <w:r w:rsidRPr="00FF4BA2">
        <w:rPr>
          <w:rFonts w:ascii="Noto Sans" w:hAnsi="Noto Sans" w:cs="Noto Sans"/>
          <w:sz w:val="20"/>
          <w:szCs w:val="20"/>
        </w:rPr>
        <w:t xml:space="preserve"> (consecutive wet-day count;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wet_spell_maxlen_tp</w:t>
      </w:r>
      <w:proofErr w:type="spellEnd"/>
      <w:r w:rsidRPr="00FF4BA2">
        <w:rPr>
          <w:rFonts w:ascii="Noto Sans" w:hAnsi="Noto Sans" w:cs="Noto Sans"/>
          <w:sz w:val="20"/>
          <w:szCs w:val="20"/>
        </w:rPr>
        <w:t>). Ten millimeters is a defensible starting point because many water-borne/vector mechanisms are sensitive near that range; sensitivity at 5 and 20 mm is advisable (Zhang et al., 2011; Karl et al., 1999).</w:t>
      </w:r>
    </w:p>
    <w:p w14:paraId="52B64A18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Coverage.</w:t>
      </w:r>
      <w:r w:rsidRPr="00FF4BA2">
        <w:rPr>
          <w:rFonts w:ascii="Noto Sans" w:hAnsi="Noto Sans" w:cs="Noto Sans"/>
          <w:sz w:val="20"/>
          <w:szCs w:val="20"/>
        </w:rPr>
        <w:t xml:space="preserve"> </w:t>
      </w:r>
      <w:proofErr w:type="spellStart"/>
      <w:r w:rsidRPr="00FF4BA2">
        <w:rPr>
          <w:rFonts w:ascii="Noto Sans" w:hAnsi="Noto Sans" w:cs="Noto Sans"/>
          <w:sz w:val="20"/>
          <w:szCs w:val="20"/>
        </w:rPr>
        <w:t>n_days_week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counts days with usable data inside the week. Rather than </w:t>
      </w:r>
      <w:proofErr w:type="gramStart"/>
      <w:r w:rsidRPr="00FF4BA2">
        <w:rPr>
          <w:rFonts w:ascii="Noto Sans" w:hAnsi="Noto Sans" w:cs="Noto Sans"/>
          <w:sz w:val="20"/>
          <w:szCs w:val="20"/>
        </w:rPr>
        <w:t>hard-masking</w:t>
      </w:r>
      <w:proofErr w:type="gramEnd"/>
      <w:r w:rsidRPr="00FF4BA2">
        <w:rPr>
          <w:rFonts w:ascii="Noto Sans" w:hAnsi="Noto Sans" w:cs="Noto Sans"/>
          <w:sz w:val="20"/>
          <w:szCs w:val="20"/>
        </w:rPr>
        <w:t>, we keep this column so analysts can set explicit filters (e.g., keep weeks with ≥5 valid days).</w:t>
      </w:r>
    </w:p>
    <w:p w14:paraId="36456977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Anomalies.</w:t>
      </w:r>
      <w:r w:rsidRPr="00FF4BA2">
        <w:rPr>
          <w:rFonts w:ascii="Noto Sans" w:hAnsi="Noto Sans" w:cs="Noto Sans"/>
          <w:sz w:val="20"/>
          <w:szCs w:val="20"/>
        </w:rPr>
        <w:t xml:space="preserve"> For selected variables we compute *_</w:t>
      </w:r>
      <w:proofErr w:type="spellStart"/>
      <w:r w:rsidRPr="00FF4BA2">
        <w:rPr>
          <w:rFonts w:ascii="Noto Sans" w:hAnsi="Noto Sans" w:cs="Noto Sans"/>
          <w:sz w:val="20"/>
          <w:szCs w:val="20"/>
        </w:rPr>
        <w:t>anom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(observed minus climatology) and *_</w:t>
      </w:r>
      <w:proofErr w:type="spellStart"/>
      <w:r w:rsidRPr="00FF4BA2">
        <w:rPr>
          <w:rFonts w:ascii="Noto Sans" w:hAnsi="Noto Sans" w:cs="Noto Sans"/>
          <w:sz w:val="20"/>
          <w:szCs w:val="20"/>
        </w:rPr>
        <w:t>pct_normal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(observed divided by climatology with safeguards near zero). These enable comparisons across districts and seasons (WMO, 2017).</w:t>
      </w:r>
    </w:p>
    <w:p w14:paraId="1FEBBF8B" w14:textId="77777777" w:rsidR="00FF4BA2" w:rsidRPr="00FF4BA2" w:rsidRDefault="00FF4BA2" w:rsidP="00FF4BA2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Memory, lags, and rolling windows.</w:t>
      </w:r>
      <w:r w:rsidRPr="00FF4BA2">
        <w:rPr>
          <w:rFonts w:ascii="Noto Sans" w:hAnsi="Noto Sans" w:cs="Noto Sans"/>
          <w:sz w:val="20"/>
          <w:szCs w:val="20"/>
        </w:rPr>
        <w:t xml:space="preserve"> For key features we generate *_lag1 … *_lag6 (weeks) and </w:t>
      </w:r>
      <w:r w:rsidRPr="00FF4BA2">
        <w:rPr>
          <w:rFonts w:ascii="Noto Sans" w:hAnsi="Noto Sans" w:cs="Noto Sans"/>
          <w:b/>
          <w:bCs/>
          <w:sz w:val="20"/>
          <w:szCs w:val="20"/>
        </w:rPr>
        <w:t>2- and 4-week rolling means/sums</w:t>
      </w:r>
      <w:r w:rsidRPr="00FF4BA2">
        <w:rPr>
          <w:rFonts w:ascii="Noto Sans" w:hAnsi="Noto Sans" w:cs="Noto Sans"/>
          <w:sz w:val="20"/>
          <w:szCs w:val="20"/>
        </w:rPr>
        <w:t xml:space="preserve"> that include the current week. Because pathogens and vectors respond to </w:t>
      </w:r>
      <w:r w:rsidRPr="00FF4BA2">
        <w:rPr>
          <w:rFonts w:ascii="Noto Sans" w:hAnsi="Noto Sans" w:cs="Noto Sans"/>
          <w:b/>
          <w:bCs/>
          <w:sz w:val="20"/>
          <w:szCs w:val="20"/>
        </w:rPr>
        <w:t>recent history</w:t>
      </w:r>
      <w:r w:rsidRPr="00FF4BA2">
        <w:rPr>
          <w:rFonts w:ascii="Noto Sans" w:hAnsi="Noto Sans" w:cs="Noto Sans"/>
          <w:sz w:val="20"/>
          <w:szCs w:val="20"/>
        </w:rPr>
        <w:t xml:space="preserve">, we also compute an </w:t>
      </w:r>
      <w:r w:rsidRPr="00FF4BA2">
        <w:rPr>
          <w:rFonts w:ascii="Noto Sans" w:hAnsi="Noto Sans" w:cs="Noto Sans"/>
          <w:b/>
          <w:bCs/>
          <w:sz w:val="20"/>
          <w:szCs w:val="20"/>
        </w:rPr>
        <w:t>Exponentially Weighted Antecedent Precipitation (EWAP)</w:t>
      </w:r>
      <w:r w:rsidRPr="00FF4BA2">
        <w:rPr>
          <w:rFonts w:ascii="Noto Sans" w:hAnsi="Noto Sans" w:cs="Noto Sans"/>
          <w:sz w:val="20"/>
          <w:szCs w:val="20"/>
        </w:rPr>
        <w:t xml:space="preserve"> index: the current week plus exponentially decayed prior weeks, tuned by </w:t>
      </w:r>
      <w:r w:rsidRPr="00FF4BA2">
        <w:rPr>
          <w:rFonts w:ascii="Noto Sans" w:hAnsi="Noto Sans" w:cs="Noto Sans"/>
          <w:b/>
          <w:bCs/>
          <w:sz w:val="20"/>
          <w:szCs w:val="20"/>
        </w:rPr>
        <w:t>α</w:t>
      </w:r>
      <w:r w:rsidRPr="00FF4BA2">
        <w:rPr>
          <w:rFonts w:ascii="Noto Sans" w:hAnsi="Noto Sans" w:cs="Noto Sans"/>
          <w:sz w:val="20"/>
          <w:szCs w:val="20"/>
        </w:rPr>
        <w:t xml:space="preserve"> (decay) and </w:t>
      </w:r>
      <w:r w:rsidRPr="00FF4BA2">
        <w:rPr>
          <w:rFonts w:ascii="Noto Sans" w:hAnsi="Noto Sans" w:cs="Noto Sans"/>
          <w:b/>
          <w:bCs/>
          <w:sz w:val="20"/>
          <w:szCs w:val="20"/>
        </w:rPr>
        <w:t>K</w:t>
      </w:r>
      <w:r w:rsidRPr="00FF4BA2">
        <w:rPr>
          <w:rFonts w:ascii="Noto Sans" w:hAnsi="Noto Sans" w:cs="Noto Sans"/>
          <w:sz w:val="20"/>
          <w:szCs w:val="20"/>
        </w:rPr>
        <w:t xml:space="preserve"> (horizon). Choices should be biologically plausible and validated empirically (Bhaskaran et al., 2013; Gasparrini, 2010).</w:t>
      </w:r>
    </w:p>
    <w:p w14:paraId="0CB81E6C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0AF05F68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321FEBA6" w14:textId="77777777" w:rsidR="00FF4BA2" w:rsidRPr="00FF4BA2" w:rsidRDefault="00FF4BA2" w:rsidP="00FF4BA2">
      <w:pPr>
        <w:pStyle w:val="Heading1"/>
      </w:pPr>
      <w:r w:rsidRPr="00FF4BA2">
        <w:t>5) The workflow, step by step</w:t>
      </w:r>
    </w:p>
    <w:p w14:paraId="0DA002F8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1 — Convert to local time, then aggregate to daily.</w:t>
      </w:r>
      <w:r w:rsidRPr="00FF4BA2">
        <w:rPr>
          <w:rFonts w:ascii="Noto Sans" w:hAnsi="Noto Sans" w:cs="Noto Sans"/>
          <w:sz w:val="20"/>
          <w:szCs w:val="20"/>
        </w:rPr>
        <w:t xml:space="preserve"> Shift ERA5 timestamps to Asia/Colombo, then compute cell-level daily statistics. Aggregating in UTC can shift storms across local day boundaries and into the wrong epi week; conversion first avoids this.</w:t>
      </w:r>
    </w:p>
    <w:p w14:paraId="4E9E9865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2 — Build area weights once.</w:t>
      </w:r>
      <w:r w:rsidRPr="00FF4BA2">
        <w:rPr>
          <w:rFonts w:ascii="Noto Sans" w:hAnsi="Noto Sans" w:cs="Noto Sans"/>
          <w:sz w:val="20"/>
          <w:szCs w:val="20"/>
        </w:rPr>
        <w:t xml:space="preserve"> Construct polygons for grid cells from center coordinates; intersect with district polygons in an equal-area CRS and compute overlap area (m²). Store those </w:t>
      </w:r>
      <w:proofErr w:type="spellStart"/>
      <w:r w:rsidRPr="00FF4BA2">
        <w:rPr>
          <w:rFonts w:ascii="Noto Sans" w:hAnsi="Noto Sans" w:cs="Noto Sans"/>
          <w:sz w:val="20"/>
          <w:szCs w:val="20"/>
        </w:rPr>
        <w:t>cell→district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weights for reuse across all days and variables (Mennis, 2003).</w:t>
      </w:r>
    </w:p>
    <w:p w14:paraId="2B6D1126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</w:p>
    <w:p w14:paraId="35492C4A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3 — Make daily district values.</w:t>
      </w:r>
      <w:r w:rsidRPr="00FF4BA2">
        <w:rPr>
          <w:rFonts w:ascii="Noto Sans" w:hAnsi="Noto Sans" w:cs="Noto Sans"/>
          <w:sz w:val="20"/>
          <w:szCs w:val="20"/>
        </w:rPr>
        <w:t xml:space="preserve"> For each district–day, take the </w:t>
      </w:r>
      <w:r w:rsidRPr="00FF4BA2">
        <w:rPr>
          <w:rFonts w:ascii="Noto Sans" w:hAnsi="Noto Sans" w:cs="Noto Sans"/>
          <w:b/>
          <w:bCs/>
          <w:sz w:val="20"/>
          <w:szCs w:val="20"/>
        </w:rPr>
        <w:t>area-weighted average</w:t>
      </w:r>
      <w:r w:rsidRPr="00FF4BA2">
        <w:rPr>
          <w:rFonts w:ascii="Noto Sans" w:hAnsi="Noto Sans" w:cs="Noto Sans"/>
          <w:sz w:val="20"/>
          <w:szCs w:val="20"/>
        </w:rPr>
        <w:t xml:space="preserve"> of cell-level daily means (e.g., temperature) and the </w:t>
      </w:r>
      <w:r w:rsidRPr="00FF4BA2">
        <w:rPr>
          <w:rFonts w:ascii="Noto Sans" w:hAnsi="Noto Sans" w:cs="Noto Sans"/>
          <w:b/>
          <w:bCs/>
          <w:sz w:val="20"/>
          <w:szCs w:val="20"/>
        </w:rPr>
        <w:t>area-weighted sum</w:t>
      </w:r>
      <w:r w:rsidRPr="00FF4BA2">
        <w:rPr>
          <w:rFonts w:ascii="Noto Sans" w:hAnsi="Noto Sans" w:cs="Noto Sans"/>
          <w:sz w:val="20"/>
          <w:szCs w:val="20"/>
        </w:rPr>
        <w:t xml:space="preserve"> for precipitation totals. Set small negative precipitation artifacts to zero.</w:t>
      </w:r>
    </w:p>
    <w:p w14:paraId="5334E54E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lastRenderedPageBreak/>
        <w:t>Step 4 — Create weekly features aligned to surveillance.</w:t>
      </w:r>
      <w:r w:rsidRPr="00FF4BA2">
        <w:rPr>
          <w:rFonts w:ascii="Noto Sans" w:hAnsi="Noto Sans" w:cs="Noto Sans"/>
          <w:sz w:val="20"/>
          <w:szCs w:val="20"/>
        </w:rPr>
        <w:t xml:space="preserve"> Using the WER’s week-</w:t>
      </w:r>
      <w:proofErr w:type="gramStart"/>
      <w:r w:rsidRPr="00FF4BA2">
        <w:rPr>
          <w:rFonts w:ascii="Noto Sans" w:hAnsi="Noto Sans" w:cs="Noto Sans"/>
          <w:sz w:val="20"/>
          <w:szCs w:val="20"/>
        </w:rPr>
        <w:t>ending</w:t>
      </w:r>
      <w:proofErr w:type="gramEnd"/>
      <w:r w:rsidRPr="00FF4BA2">
        <w:rPr>
          <w:rFonts w:ascii="Noto Sans" w:hAnsi="Noto Sans" w:cs="Noto Sans"/>
          <w:sz w:val="20"/>
          <w:szCs w:val="20"/>
        </w:rPr>
        <w:t xml:space="preserve"> date, gather the days in that local-time week and compute the features above. Record </w:t>
      </w:r>
      <w:proofErr w:type="spellStart"/>
      <w:r w:rsidRPr="00FF4BA2">
        <w:rPr>
          <w:rFonts w:ascii="Noto Sans" w:hAnsi="Noto Sans" w:cs="Noto Sans"/>
          <w:sz w:val="20"/>
          <w:szCs w:val="20"/>
        </w:rPr>
        <w:t>n_days_week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>. If you want a minimum coverage rule, filter later rather than discarding informative weeks.</w:t>
      </w:r>
    </w:p>
    <w:p w14:paraId="2F4DB3AF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5 — Add memory, lags, and short windows.</w:t>
      </w:r>
      <w:r w:rsidRPr="00FF4BA2">
        <w:rPr>
          <w:rFonts w:ascii="Noto Sans" w:hAnsi="Noto Sans" w:cs="Noto Sans"/>
          <w:sz w:val="20"/>
          <w:szCs w:val="20"/>
        </w:rPr>
        <w:t xml:space="preserve"> Create 1–</w:t>
      </w:r>
      <w:proofErr w:type="gramStart"/>
      <w:r w:rsidRPr="00FF4BA2">
        <w:rPr>
          <w:rFonts w:ascii="Noto Sans" w:hAnsi="Noto Sans" w:cs="Noto Sans"/>
          <w:sz w:val="20"/>
          <w:szCs w:val="20"/>
        </w:rPr>
        <w:t>6 week</w:t>
      </w:r>
      <w:proofErr w:type="gramEnd"/>
      <w:r w:rsidRPr="00FF4BA2">
        <w:rPr>
          <w:rFonts w:ascii="Noto Sans" w:hAnsi="Noto Sans" w:cs="Noto Sans"/>
          <w:sz w:val="20"/>
          <w:szCs w:val="20"/>
        </w:rPr>
        <w:t xml:space="preserve"> lags for precipitation, temperature, humidity, VPD. Build 2- and 4-week rolling means/sums with tolerant windows (e.g., allow 1 of 2 weeks) to avoid NA propagation. Compute EWAP for rainfall memory.</w:t>
      </w:r>
    </w:p>
    <w:p w14:paraId="52F30BF4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6 — Derive climatologies and anomalies.</w:t>
      </w:r>
      <w:r w:rsidRPr="00FF4BA2">
        <w:rPr>
          <w:rFonts w:ascii="Noto Sans" w:hAnsi="Noto Sans" w:cs="Noto Sans"/>
          <w:sz w:val="20"/>
          <w:szCs w:val="20"/>
        </w:rPr>
        <w:t xml:space="preserve"> For each district and week-of-year, compute a baseline using the available historical period (or a WMO “normal,” e.g., 1991–2020). Subtract to get anomalies and divide to get percent-of-normal (WMO, 2017).</w:t>
      </w:r>
    </w:p>
    <w:p w14:paraId="511E5F24" w14:textId="77777777" w:rsidR="00FF4BA2" w:rsidRPr="00FF4BA2" w:rsidRDefault="00FF4BA2" w:rsidP="00FF4BA2">
      <w:pPr>
        <w:spacing w:line="240" w:lineRule="auto"/>
        <w:ind w:left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Step 7 — Join to health and population.</w:t>
      </w:r>
      <w:r w:rsidRPr="00FF4BA2">
        <w:rPr>
          <w:rFonts w:ascii="Noto Sans" w:hAnsi="Noto Sans" w:cs="Noto Sans"/>
          <w:sz w:val="20"/>
          <w:szCs w:val="20"/>
        </w:rPr>
        <w:t xml:space="preserve"> Harmonize district names across sources, merge weekly climate features to WER case counts by district and </w:t>
      </w:r>
      <w:proofErr w:type="gramStart"/>
      <w:r w:rsidRPr="00FF4BA2">
        <w:rPr>
          <w:rFonts w:ascii="Noto Sans" w:hAnsi="Noto Sans" w:cs="Noto Sans"/>
          <w:sz w:val="20"/>
          <w:szCs w:val="20"/>
        </w:rPr>
        <w:t>week, and</w:t>
      </w:r>
      <w:proofErr w:type="gramEnd"/>
      <w:r w:rsidRPr="00FF4BA2">
        <w:rPr>
          <w:rFonts w:ascii="Noto Sans" w:hAnsi="Noto Sans" w:cs="Noto Sans"/>
          <w:sz w:val="20"/>
          <w:szCs w:val="20"/>
        </w:rPr>
        <w:t xml:space="preserve"> add population to compute rates and to provide a Poisson/NB offset (Bhaskaran et al., 2013; Peng et al., 2006).</w:t>
      </w:r>
    </w:p>
    <w:p w14:paraId="3742A4B2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1534B735" w14:textId="77777777" w:rsidR="00FF4BA2" w:rsidRPr="00FF4BA2" w:rsidRDefault="00FF4BA2" w:rsidP="00FF4BA2">
      <w:pPr>
        <w:pStyle w:val="Heading1"/>
      </w:pPr>
      <w:r w:rsidRPr="00FF4BA2">
        <w:t>6) Design choices and why they matter</w:t>
      </w:r>
    </w:p>
    <w:p w14:paraId="2265188A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Three choices do most of the quality work. First, </w:t>
      </w:r>
      <w:r w:rsidRPr="00FF4BA2">
        <w:rPr>
          <w:rFonts w:ascii="Noto Sans" w:hAnsi="Noto Sans" w:cs="Noto Sans"/>
          <w:b/>
          <w:bCs/>
          <w:sz w:val="20"/>
          <w:szCs w:val="20"/>
        </w:rPr>
        <w:t>local-time aggregation before daily/weekly roll-ups</w:t>
      </w:r>
      <w:r w:rsidRPr="00FF4BA2">
        <w:rPr>
          <w:rFonts w:ascii="Noto Sans" w:hAnsi="Noto Sans" w:cs="Noto Sans"/>
          <w:sz w:val="20"/>
          <w:szCs w:val="20"/>
        </w:rPr>
        <w:t xml:space="preserve"> ensures exposure belongs to the week people </w:t>
      </w:r>
      <w:proofErr w:type="gramStart"/>
      <w:r w:rsidRPr="00FF4BA2">
        <w:rPr>
          <w:rFonts w:ascii="Noto Sans" w:hAnsi="Noto Sans" w:cs="Noto Sans"/>
          <w:sz w:val="20"/>
          <w:szCs w:val="20"/>
        </w:rPr>
        <w:t>actually experienced</w:t>
      </w:r>
      <w:proofErr w:type="gramEnd"/>
      <w:r w:rsidRPr="00FF4BA2">
        <w:rPr>
          <w:rFonts w:ascii="Noto Sans" w:hAnsi="Noto Sans" w:cs="Noto Sans"/>
          <w:sz w:val="20"/>
          <w:szCs w:val="20"/>
        </w:rPr>
        <w:t xml:space="preserve">. Second, </w:t>
      </w:r>
      <w:r w:rsidRPr="00FF4BA2">
        <w:rPr>
          <w:rFonts w:ascii="Noto Sans" w:hAnsi="Noto Sans" w:cs="Noto Sans"/>
          <w:b/>
          <w:bCs/>
          <w:sz w:val="20"/>
          <w:szCs w:val="20"/>
        </w:rPr>
        <w:t>area-weighted exposure</w:t>
      </w:r>
      <w:r w:rsidRPr="00FF4BA2">
        <w:rPr>
          <w:rFonts w:ascii="Noto Sans" w:hAnsi="Noto Sans" w:cs="Noto Sans"/>
          <w:sz w:val="20"/>
          <w:szCs w:val="20"/>
        </w:rPr>
        <w:t xml:space="preserve"> performs better than nearest-cell lookups, especially along coasts or in elongated districts where the gridded footprint and the administrative footprint differ (Mennis, 2003; Fotheringham &amp; Wong, 1991). Third, we </w:t>
      </w:r>
      <w:r w:rsidRPr="00FF4BA2">
        <w:rPr>
          <w:rFonts w:ascii="Noto Sans" w:hAnsi="Noto Sans" w:cs="Noto Sans"/>
          <w:b/>
          <w:bCs/>
          <w:sz w:val="20"/>
          <w:szCs w:val="20"/>
        </w:rPr>
        <w:t>retain both ERA5 precipitation measures (</w:t>
      </w:r>
      <w:proofErr w:type="spellStart"/>
      <w:r w:rsidRPr="00FF4BA2">
        <w:rPr>
          <w:rFonts w:ascii="Noto Sans" w:hAnsi="Noto Sans" w:cs="Noto Sans"/>
          <w:b/>
          <w:bCs/>
          <w:sz w:val="20"/>
          <w:szCs w:val="20"/>
        </w:rPr>
        <w:t>tp</w:t>
      </w:r>
      <w:proofErr w:type="spellEnd"/>
      <w:r w:rsidRPr="00FF4BA2">
        <w:rPr>
          <w:rFonts w:ascii="Noto Sans" w:hAnsi="Noto Sans" w:cs="Noto Sans"/>
          <w:b/>
          <w:bCs/>
          <w:sz w:val="20"/>
          <w:szCs w:val="20"/>
        </w:rPr>
        <w:t xml:space="preserve"> and </w:t>
      </w:r>
      <w:proofErr w:type="spellStart"/>
      <w:r w:rsidRPr="00FF4BA2">
        <w:rPr>
          <w:rFonts w:ascii="Noto Sans" w:hAnsi="Noto Sans" w:cs="Noto Sans"/>
          <w:b/>
          <w:bCs/>
          <w:sz w:val="20"/>
          <w:szCs w:val="20"/>
        </w:rPr>
        <w:t>mtpr</w:t>
      </w:r>
      <w:proofErr w:type="spellEnd"/>
      <w:r w:rsidRPr="00FF4BA2">
        <w:rPr>
          <w:rFonts w:ascii="Noto Sans" w:hAnsi="Noto Sans" w:cs="Noto Sans"/>
          <w:b/>
          <w:bCs/>
          <w:sz w:val="20"/>
          <w:szCs w:val="20"/>
        </w:rPr>
        <w:t>)</w:t>
      </w:r>
      <w:r w:rsidRPr="00FF4BA2">
        <w:rPr>
          <w:rFonts w:ascii="Noto Sans" w:hAnsi="Noto Sans" w:cs="Noto Sans"/>
          <w:sz w:val="20"/>
          <w:szCs w:val="20"/>
        </w:rPr>
        <w:t xml:space="preserve"> and cross-validate them to catch unit or conversion problems early (Simmons et al., 2018; Tran et al., 2019).</w:t>
      </w:r>
    </w:p>
    <w:p w14:paraId="1B6B2706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Two further choices protect inference. To reduce </w:t>
      </w:r>
      <w:r w:rsidRPr="00FF4BA2">
        <w:rPr>
          <w:rFonts w:ascii="Noto Sans" w:hAnsi="Noto Sans" w:cs="Noto Sans"/>
          <w:b/>
          <w:bCs/>
          <w:sz w:val="20"/>
          <w:szCs w:val="20"/>
        </w:rPr>
        <w:t>collinearity</w:t>
      </w:r>
      <w:r w:rsidRPr="00FF4BA2">
        <w:rPr>
          <w:rFonts w:ascii="Noto Sans" w:hAnsi="Noto Sans" w:cs="Noto Sans"/>
          <w:sz w:val="20"/>
          <w:szCs w:val="20"/>
        </w:rPr>
        <w:t xml:space="preserve">, we avoid including algebraically redundant features (e.g., RH together with VPD) unless needed and consider penalization when feature sets are large (Dormann et al., 2013;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Tibshirani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1996; Zou &amp; Hastie, 2005;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Meinshausen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&amp;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Bühlmann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2010). To reduce </w:t>
      </w:r>
      <w:r w:rsidRPr="00FF4BA2">
        <w:rPr>
          <w:rFonts w:ascii="Noto Sans" w:hAnsi="Noto Sans" w:cs="Noto Sans"/>
          <w:b/>
          <w:bCs/>
          <w:sz w:val="20"/>
          <w:szCs w:val="20"/>
        </w:rPr>
        <w:t>exposure attenuation</w:t>
      </w:r>
      <w:r w:rsidRPr="00FF4BA2">
        <w:rPr>
          <w:rFonts w:ascii="Noto Sans" w:hAnsi="Noto Sans" w:cs="Noto Sans"/>
          <w:sz w:val="20"/>
          <w:szCs w:val="20"/>
        </w:rPr>
        <w:t xml:space="preserve"> from spatial misalignment, we use area weights and interpret small coefficients with caution, particularly for precipitation (Carroll et al., 2006;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Gryparis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et al., 2009).</w:t>
      </w:r>
    </w:p>
    <w:p w14:paraId="7F038D40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78C4D031" w14:textId="77777777" w:rsidR="00FF4BA2" w:rsidRPr="00FF4BA2" w:rsidRDefault="00FF4BA2" w:rsidP="00FF4BA2">
      <w:pPr>
        <w:pStyle w:val="Heading1"/>
      </w:pPr>
      <w:r w:rsidRPr="00FF4BA2">
        <w:t>7) What can go wrong (and how to catch it quickly)</w:t>
      </w:r>
    </w:p>
    <w:p w14:paraId="3173DECA" w14:textId="77777777" w:rsid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Before trusting any model output, run three short checks. First, plot district-day rainfall histograms and verify totals are non-negative and plausible; weekly sums should not all be zero. Second, pick a district and a specific week and </w:t>
      </w:r>
      <w:r w:rsidRPr="00FF4BA2">
        <w:rPr>
          <w:rFonts w:ascii="Noto Sans" w:hAnsi="Noto Sans" w:cs="Noto Sans"/>
          <w:b/>
          <w:bCs/>
          <w:sz w:val="20"/>
          <w:szCs w:val="20"/>
        </w:rPr>
        <w:t>hand-calculate</w:t>
      </w:r>
      <w:r w:rsidRPr="00FF4BA2">
        <w:rPr>
          <w:rFonts w:ascii="Noto Sans" w:hAnsi="Noto Sans" w:cs="Noto Sans"/>
          <w:sz w:val="20"/>
          <w:szCs w:val="20"/>
        </w:rPr>
        <w:t xml:space="preserve"> the weekly precipitation sum from its daily values to confirm the weekly builder behaves as expected. Third, compare ERA5 weekly totals against any available station-based weekly totals in a few districts. Exact agreement is not expected, but order-of-magnitude mismatches flag unit or conversion bugs (Bhaskaran et al., 2013; Simmons et al., 2018).</w:t>
      </w:r>
    </w:p>
    <w:p w14:paraId="77F29F4D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4536AFF1" w14:textId="12043514" w:rsidR="00FF4BA2" w:rsidRPr="00FF4BA2" w:rsidRDefault="00FF4BA2" w:rsidP="00FF4BA2">
      <w:pPr>
        <w:pStyle w:val="Heading1"/>
      </w:pPr>
      <w:r w:rsidRPr="00FF4BA2">
        <w:t>8) Modeling weekly outcomes</w:t>
      </w:r>
      <w:r>
        <w:t xml:space="preserve"> - generally</w:t>
      </w:r>
    </w:p>
    <w:p w14:paraId="5E08921B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lastRenderedPageBreak/>
        <w:t xml:space="preserve">For counts, a robust starting point is a </w:t>
      </w:r>
      <w:r w:rsidRPr="00FF4BA2">
        <w:rPr>
          <w:rFonts w:ascii="Noto Sans" w:hAnsi="Noto Sans" w:cs="Noto Sans"/>
          <w:b/>
          <w:bCs/>
          <w:sz w:val="20"/>
          <w:szCs w:val="20"/>
        </w:rPr>
        <w:t>negative binomial or quasi-Poisson</w:t>
      </w:r>
      <w:r w:rsidRPr="00FF4BA2">
        <w:rPr>
          <w:rFonts w:ascii="Noto Sans" w:hAnsi="Noto Sans" w:cs="Noto Sans"/>
          <w:sz w:val="20"/>
          <w:szCs w:val="20"/>
        </w:rPr>
        <w:t xml:space="preserve"> regression with a population offset:</w:t>
      </w:r>
    </w:p>
    <w:p w14:paraId="09DA02AF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proofErr w:type="gramStart"/>
      <w:r w:rsidRPr="00FF4BA2">
        <w:rPr>
          <w:rFonts w:ascii="Noto Sans" w:hAnsi="Noto Sans" w:cs="Noto Sans"/>
          <w:sz w:val="20"/>
          <w:szCs w:val="20"/>
        </w:rPr>
        <w:t>cases_{</w:t>
      </w:r>
      <w:proofErr w:type="spellStart"/>
      <w:r w:rsidRPr="00FF4BA2">
        <w:rPr>
          <w:rFonts w:ascii="Noto Sans" w:hAnsi="Noto Sans" w:cs="Noto Sans"/>
          <w:sz w:val="20"/>
          <w:szCs w:val="20"/>
        </w:rPr>
        <w:t>d,w</w:t>
      </w:r>
      <w:proofErr w:type="spellEnd"/>
      <w:proofErr w:type="gramEnd"/>
      <w:r w:rsidRPr="00FF4BA2">
        <w:rPr>
          <w:rFonts w:ascii="Noto Sans" w:hAnsi="Noto Sans" w:cs="Noto Sans"/>
          <w:sz w:val="20"/>
          <w:szCs w:val="20"/>
        </w:rPr>
        <w:t>} ~ offset(log(</w:t>
      </w:r>
      <w:proofErr w:type="gramStart"/>
      <w:r w:rsidRPr="00FF4BA2">
        <w:rPr>
          <w:rFonts w:ascii="Noto Sans" w:hAnsi="Noto Sans" w:cs="Noto Sans"/>
          <w:sz w:val="20"/>
          <w:szCs w:val="20"/>
        </w:rPr>
        <w:t>pop_{</w:t>
      </w:r>
      <w:proofErr w:type="spellStart"/>
      <w:r w:rsidRPr="00FF4BA2">
        <w:rPr>
          <w:rFonts w:ascii="Noto Sans" w:hAnsi="Noto Sans" w:cs="Noto Sans"/>
          <w:sz w:val="20"/>
          <w:szCs w:val="20"/>
        </w:rPr>
        <w:t>d,w</w:t>
      </w:r>
      <w:proofErr w:type="spellEnd"/>
      <w:proofErr w:type="gramEnd"/>
      <w:r w:rsidRPr="00FF4BA2">
        <w:rPr>
          <w:rFonts w:ascii="Noto Sans" w:hAnsi="Noto Sans" w:cs="Noto Sans"/>
          <w:sz w:val="20"/>
          <w:szCs w:val="20"/>
        </w:rPr>
        <w:t>})) + precipitation (levels, anomalies, lags) + temperature/VPD (levels, anomalies, lags) + district effects + smooth seasonality f(week-of-year) + year effects.</w:t>
      </w:r>
    </w:p>
    <w:p w14:paraId="0BA5A422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Control long- and short-term seasonality with </w:t>
      </w:r>
      <w:r w:rsidRPr="00FF4BA2">
        <w:rPr>
          <w:rFonts w:ascii="Noto Sans" w:hAnsi="Noto Sans" w:cs="Noto Sans"/>
          <w:b/>
          <w:bCs/>
          <w:sz w:val="20"/>
          <w:szCs w:val="20"/>
        </w:rPr>
        <w:t>flexible smoothers</w:t>
      </w:r>
      <w:r w:rsidRPr="00FF4BA2">
        <w:rPr>
          <w:rFonts w:ascii="Noto Sans" w:hAnsi="Noto Sans" w:cs="Noto Sans"/>
          <w:sz w:val="20"/>
          <w:szCs w:val="20"/>
        </w:rPr>
        <w:t xml:space="preserve"> (e.g., penalized splines of time or week-of-year) and check stability to reasonable smoothing choices (Peng et al., 2006; Bhaskaran et al., 2013). Respect time order in evaluation with </w:t>
      </w:r>
      <w:r w:rsidRPr="00FF4BA2">
        <w:rPr>
          <w:rFonts w:ascii="Noto Sans" w:hAnsi="Noto Sans" w:cs="Noto Sans"/>
          <w:b/>
          <w:bCs/>
          <w:sz w:val="20"/>
          <w:szCs w:val="20"/>
        </w:rPr>
        <w:t>blocked or forward-chaining cross-validation</w:t>
      </w:r>
      <w:r w:rsidRPr="00FF4BA2">
        <w:rPr>
          <w:rFonts w:ascii="Noto Sans" w:hAnsi="Noto Sans" w:cs="Noto Sans"/>
          <w:sz w:val="20"/>
          <w:szCs w:val="20"/>
        </w:rPr>
        <w:t>; random folds leak future information (</w:t>
      </w:r>
      <w:proofErr w:type="spellStart"/>
      <w:r w:rsidRPr="00FF4BA2">
        <w:rPr>
          <w:rFonts w:ascii="Noto Sans" w:hAnsi="Noto Sans" w:cs="Noto Sans"/>
          <w:sz w:val="20"/>
          <w:szCs w:val="20"/>
        </w:rPr>
        <w:t>Bergmeir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&amp; Benítez, 2012). When you expect </w:t>
      </w:r>
      <w:r w:rsidRPr="00FF4BA2">
        <w:rPr>
          <w:rFonts w:ascii="Noto Sans" w:hAnsi="Noto Sans" w:cs="Noto Sans"/>
          <w:b/>
          <w:bCs/>
          <w:sz w:val="20"/>
          <w:szCs w:val="20"/>
        </w:rPr>
        <w:t>nonlinear delayed effects</w:t>
      </w:r>
      <w:r w:rsidRPr="00FF4BA2">
        <w:rPr>
          <w:rFonts w:ascii="Noto Sans" w:hAnsi="Noto Sans" w:cs="Noto Sans"/>
          <w:sz w:val="20"/>
          <w:szCs w:val="20"/>
        </w:rPr>
        <w:t xml:space="preserve">, fit </w:t>
      </w:r>
      <w:r w:rsidRPr="00FF4BA2">
        <w:rPr>
          <w:rFonts w:ascii="Noto Sans" w:hAnsi="Noto Sans" w:cs="Noto Sans"/>
          <w:b/>
          <w:bCs/>
          <w:sz w:val="20"/>
          <w:szCs w:val="20"/>
        </w:rPr>
        <w:t>Distributed Lag Non-Linear Models (DLNMs)</w:t>
      </w:r>
      <w:r w:rsidRPr="00FF4BA2">
        <w:rPr>
          <w:rFonts w:ascii="Noto Sans" w:hAnsi="Noto Sans" w:cs="Noto Sans"/>
          <w:sz w:val="20"/>
          <w:szCs w:val="20"/>
        </w:rPr>
        <w:t xml:space="preserve"> to estimate an exposure–lag–response surface (Gasparrini, 2010). For short-term risk with strong within-district control of time-invariant confounding, consider </w:t>
      </w:r>
      <w:r w:rsidRPr="00FF4BA2">
        <w:rPr>
          <w:rFonts w:ascii="Noto Sans" w:hAnsi="Noto Sans" w:cs="Noto Sans"/>
          <w:b/>
          <w:bCs/>
          <w:sz w:val="20"/>
          <w:szCs w:val="20"/>
        </w:rPr>
        <w:t>case-crossover</w:t>
      </w:r>
      <w:r w:rsidRPr="00FF4BA2">
        <w:rPr>
          <w:rFonts w:ascii="Noto Sans" w:hAnsi="Noto Sans" w:cs="Noto Sans"/>
          <w:sz w:val="20"/>
          <w:szCs w:val="20"/>
        </w:rPr>
        <w:t xml:space="preserve"> or the </w:t>
      </w:r>
      <w:r w:rsidRPr="00FF4BA2">
        <w:rPr>
          <w:rFonts w:ascii="Noto Sans" w:hAnsi="Noto Sans" w:cs="Noto Sans"/>
          <w:b/>
          <w:bCs/>
          <w:sz w:val="20"/>
          <w:szCs w:val="20"/>
        </w:rPr>
        <w:t>case time-series</w:t>
      </w:r>
      <w:r w:rsidRPr="00FF4BA2">
        <w:rPr>
          <w:rFonts w:ascii="Noto Sans" w:hAnsi="Noto Sans" w:cs="Noto Sans"/>
          <w:sz w:val="20"/>
          <w:szCs w:val="20"/>
        </w:rPr>
        <w:t xml:space="preserve"> design (Maclure, 1991; Janes et al., 2005; Gasparrini, 2021, 2022).</w:t>
      </w:r>
    </w:p>
    <w:p w14:paraId="6C965470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If the goal is </w:t>
      </w:r>
      <w:r w:rsidRPr="00FF4BA2">
        <w:rPr>
          <w:rFonts w:ascii="Noto Sans" w:hAnsi="Noto Sans" w:cs="Noto Sans"/>
          <w:b/>
          <w:bCs/>
          <w:sz w:val="20"/>
          <w:szCs w:val="20"/>
        </w:rPr>
        <w:t>early warning</w:t>
      </w:r>
      <w:r w:rsidRPr="00FF4BA2">
        <w:rPr>
          <w:rFonts w:ascii="Noto Sans" w:hAnsi="Noto Sans" w:cs="Noto Sans"/>
          <w:sz w:val="20"/>
          <w:szCs w:val="20"/>
        </w:rPr>
        <w:t xml:space="preserve">, machine-learning models can help; prefer </w:t>
      </w:r>
      <w:r w:rsidRPr="00FF4BA2">
        <w:rPr>
          <w:rFonts w:ascii="Noto Sans" w:hAnsi="Noto Sans" w:cs="Noto Sans"/>
          <w:b/>
          <w:bCs/>
          <w:sz w:val="20"/>
          <w:szCs w:val="20"/>
        </w:rPr>
        <w:t>interpretation tools</w:t>
      </w:r>
      <w:r w:rsidRPr="00FF4BA2">
        <w:rPr>
          <w:rFonts w:ascii="Noto Sans" w:hAnsi="Noto Sans" w:cs="Noto Sans"/>
          <w:sz w:val="20"/>
          <w:szCs w:val="20"/>
        </w:rPr>
        <w:t xml:space="preserve"> that behave well under correlated features—</w:t>
      </w:r>
      <w:r w:rsidRPr="00FF4BA2">
        <w:rPr>
          <w:rFonts w:ascii="Noto Sans" w:hAnsi="Noto Sans" w:cs="Noto Sans"/>
          <w:b/>
          <w:bCs/>
          <w:sz w:val="20"/>
          <w:szCs w:val="20"/>
        </w:rPr>
        <w:t>Accumulated Local Effects (ALE)</w:t>
      </w:r>
      <w:r w:rsidRPr="00FF4BA2">
        <w:rPr>
          <w:rFonts w:ascii="Noto Sans" w:hAnsi="Noto Sans" w:cs="Noto Sans"/>
          <w:sz w:val="20"/>
          <w:szCs w:val="20"/>
        </w:rPr>
        <w:t xml:space="preserve"> for global structure and, with care, </w:t>
      </w:r>
      <w:r w:rsidRPr="00FF4BA2">
        <w:rPr>
          <w:rFonts w:ascii="Noto Sans" w:hAnsi="Noto Sans" w:cs="Noto Sans"/>
          <w:b/>
          <w:bCs/>
          <w:sz w:val="20"/>
          <w:szCs w:val="20"/>
        </w:rPr>
        <w:t>SHAP</w:t>
      </w:r>
      <w:r w:rsidRPr="00FF4BA2">
        <w:rPr>
          <w:rFonts w:ascii="Noto Sans" w:hAnsi="Noto Sans" w:cs="Noto Sans"/>
          <w:sz w:val="20"/>
          <w:szCs w:val="20"/>
        </w:rPr>
        <w:t xml:space="preserve"> for local contributions (Apley &amp; Zhu, 2020; Lundberg &amp; Lee, 2017).</w:t>
      </w:r>
    </w:p>
    <w:p w14:paraId="7291DDBB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5E322D58" w14:textId="77777777" w:rsidR="00FF4BA2" w:rsidRPr="00FF4BA2" w:rsidRDefault="00FF4BA2" w:rsidP="00FF4BA2">
      <w:pPr>
        <w:pStyle w:val="Heading1"/>
      </w:pPr>
      <w:r w:rsidRPr="00FF4BA2">
        <w:t>9) Exposure alignment, measurement error, and why small effects aren’t always “no effect”</w:t>
      </w:r>
    </w:p>
    <w:p w14:paraId="46026F19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Assigning gridded climate to districts introduces </w:t>
      </w:r>
      <w:r w:rsidRPr="00FF4BA2">
        <w:rPr>
          <w:rFonts w:ascii="Noto Sans" w:hAnsi="Noto Sans" w:cs="Noto Sans"/>
          <w:b/>
          <w:bCs/>
          <w:sz w:val="20"/>
          <w:szCs w:val="20"/>
        </w:rPr>
        <w:t>spatial misalignment</w:t>
      </w:r>
      <w:r w:rsidRPr="00FF4BA2">
        <w:rPr>
          <w:rFonts w:ascii="Noto Sans" w:hAnsi="Noto Sans" w:cs="Noto Sans"/>
          <w:sz w:val="20"/>
          <w:szCs w:val="20"/>
        </w:rPr>
        <w:t xml:space="preserve"> and thus measurement error. Area-weighting reduces, but does not eliminate, this error. Classical measurement error tends to </w:t>
      </w:r>
      <w:r w:rsidRPr="00FF4BA2">
        <w:rPr>
          <w:rFonts w:ascii="Noto Sans" w:hAnsi="Noto Sans" w:cs="Noto Sans"/>
          <w:b/>
          <w:bCs/>
          <w:sz w:val="20"/>
          <w:szCs w:val="20"/>
        </w:rPr>
        <w:t>attenuate</w:t>
      </w:r>
      <w:r w:rsidRPr="00FF4BA2">
        <w:rPr>
          <w:rFonts w:ascii="Noto Sans" w:hAnsi="Noto Sans" w:cs="Noto Sans"/>
          <w:sz w:val="20"/>
          <w:szCs w:val="20"/>
        </w:rPr>
        <w:t xml:space="preserve"> (bias toward zero) regression coefficients; Berkson error inflates variance (Carroll et al., 2006;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Gryparis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et al., 2009). Treat very small effect sizes with humility—particularly for precipitation in the tropics—and prioritize robust patterns over marginal p-values.</w:t>
      </w:r>
    </w:p>
    <w:p w14:paraId="666CDBA9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Beyond exposure error, the </w:t>
      </w:r>
      <w:r w:rsidRPr="00FF4BA2">
        <w:rPr>
          <w:rFonts w:ascii="Noto Sans" w:hAnsi="Noto Sans" w:cs="Noto Sans"/>
          <w:b/>
          <w:bCs/>
          <w:sz w:val="20"/>
          <w:szCs w:val="20"/>
        </w:rPr>
        <w:t>modifiable areal unit problem (MAUP)</w:t>
      </w:r>
      <w:r w:rsidRPr="00FF4BA2">
        <w:rPr>
          <w:rFonts w:ascii="Noto Sans" w:hAnsi="Noto Sans" w:cs="Noto Sans"/>
          <w:sz w:val="20"/>
          <w:szCs w:val="20"/>
        </w:rPr>
        <w:t xml:space="preserve"> reminds us that results can depend on the aggregation unit. We work at the reporting unit (districts) and use equal-area weights to keep the exposure definition faithful to those units (Fotheringham &amp; Wong, 1991).</w:t>
      </w:r>
    </w:p>
    <w:p w14:paraId="18EFD922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7933CA77" w14:textId="77777777" w:rsidR="00FF4BA2" w:rsidRPr="00FF4BA2" w:rsidRDefault="00FF4BA2" w:rsidP="00FF4BA2">
      <w:pPr>
        <w:pStyle w:val="Heading1"/>
      </w:pPr>
      <w:r w:rsidRPr="00FF4BA2">
        <w:t>10) What to tune for your disease and setting</w:t>
      </w:r>
    </w:p>
    <w:p w14:paraId="52EB42E5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Three knobs matter most. The </w:t>
      </w:r>
      <w:r w:rsidRPr="00FF4BA2">
        <w:rPr>
          <w:rFonts w:ascii="Noto Sans" w:hAnsi="Noto Sans" w:cs="Noto Sans"/>
          <w:b/>
          <w:bCs/>
          <w:sz w:val="20"/>
          <w:szCs w:val="20"/>
        </w:rPr>
        <w:t>wet-day threshold</w:t>
      </w:r>
      <w:r w:rsidRPr="00FF4BA2">
        <w:rPr>
          <w:rFonts w:ascii="Noto Sans" w:hAnsi="Noto Sans" w:cs="Noto Sans"/>
          <w:sz w:val="20"/>
          <w:szCs w:val="20"/>
        </w:rPr>
        <w:t xml:space="preserve"> should be plausible for your hydrology and infrastructure; sensitivity at 5, 10, and 20 mm demonstrates robustness (Zhang et al., 2011; Karl et al., 1999). The </w:t>
      </w:r>
      <w:r w:rsidRPr="00FF4BA2">
        <w:rPr>
          <w:rFonts w:ascii="Noto Sans" w:hAnsi="Noto Sans" w:cs="Noto Sans"/>
          <w:b/>
          <w:bCs/>
          <w:sz w:val="20"/>
          <w:szCs w:val="20"/>
        </w:rPr>
        <w:t>EWAP decay α</w:t>
      </w:r>
      <w:r w:rsidRPr="00FF4BA2">
        <w:rPr>
          <w:rFonts w:ascii="Noto Sans" w:hAnsi="Noto Sans" w:cs="Noto Sans"/>
          <w:sz w:val="20"/>
          <w:szCs w:val="20"/>
        </w:rPr>
        <w:t xml:space="preserve"> and </w:t>
      </w:r>
      <w:r w:rsidRPr="00FF4BA2">
        <w:rPr>
          <w:rFonts w:ascii="Noto Sans" w:hAnsi="Noto Sans" w:cs="Noto Sans"/>
          <w:b/>
          <w:bCs/>
          <w:sz w:val="20"/>
          <w:szCs w:val="20"/>
        </w:rPr>
        <w:t>horizon K</w:t>
      </w:r>
      <w:r w:rsidRPr="00FF4BA2">
        <w:rPr>
          <w:rFonts w:ascii="Noto Sans" w:hAnsi="Noto Sans" w:cs="Noto Sans"/>
          <w:sz w:val="20"/>
          <w:szCs w:val="20"/>
        </w:rPr>
        <w:t xml:space="preserve"> represent process “memory”; ranges like α=0.7–0.9 and K=3–6 weeks cover many contexts (Bhaskaran et al., 2013). The </w:t>
      </w:r>
      <w:r w:rsidRPr="00FF4BA2">
        <w:rPr>
          <w:rFonts w:ascii="Noto Sans" w:hAnsi="Noto Sans" w:cs="Noto Sans"/>
          <w:b/>
          <w:bCs/>
          <w:sz w:val="20"/>
          <w:szCs w:val="20"/>
        </w:rPr>
        <w:t>lag window</w:t>
      </w:r>
      <w:r w:rsidRPr="00FF4BA2">
        <w:rPr>
          <w:rFonts w:ascii="Noto Sans" w:hAnsi="Noto Sans" w:cs="Noto Sans"/>
          <w:sz w:val="20"/>
          <w:szCs w:val="20"/>
        </w:rPr>
        <w:t xml:space="preserve"> reflects plausible delays from exposure to symptom onset and reporting; use a prior (e.g., 0–2 weeks for leptospirosis precipitation effects; 2–6 weeks for dengue heat/moisture) and let blocked cross-validation fine-tune (Gasparrini, 2010;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Bergmeir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&amp; Benítez, 2012).</w:t>
      </w:r>
    </w:p>
    <w:p w14:paraId="26723B36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>Report the settings you chose and show that conclusions are stable to reasonable alternatives.</w:t>
      </w:r>
    </w:p>
    <w:p w14:paraId="00A7B6DD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65B02B38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07564F4D" w14:textId="77777777" w:rsidR="00FF4BA2" w:rsidRPr="00FF4BA2" w:rsidRDefault="00FF4BA2" w:rsidP="00FF4BA2">
      <w:pPr>
        <w:pStyle w:val="Heading1"/>
      </w:pPr>
      <w:r w:rsidRPr="00FF4BA2">
        <w:lastRenderedPageBreak/>
        <w:t>11) A small conceptual walk-through</w:t>
      </w:r>
    </w:p>
    <w:p w14:paraId="152CF7CB" w14:textId="77777777" w:rsid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Suppose Colombo’s epidemiological week ends on Friday, 2020-05-08. Convert hourly ERA5 timestamps to local time, compute six daily values for that Saturday–Friday window, and area-weight those to obtain district–day series. The weekly precipitation sum is the arithmetic sum of those daily totals; the longest wet spell is the longest run of days at or above 10 mm; the maximum three-day total is the largest sliding three-day sum inside that week. Compute the weekly mean temperature, the mean of daily maxima, and the 95th percentile of daily maxima. Add lag-1 and lag-2 precipitation and temperature, compute anomalies relative to week-19’s </w:t>
      </w:r>
      <w:proofErr w:type="gramStart"/>
      <w:r w:rsidRPr="00FF4BA2">
        <w:rPr>
          <w:rFonts w:ascii="Noto Sans" w:hAnsi="Noto Sans" w:cs="Noto Sans"/>
          <w:sz w:val="20"/>
          <w:szCs w:val="20"/>
        </w:rPr>
        <w:t>climatology, and</w:t>
      </w:r>
      <w:proofErr w:type="gramEnd"/>
      <w:r w:rsidRPr="00FF4BA2">
        <w:rPr>
          <w:rFonts w:ascii="Noto Sans" w:hAnsi="Noto Sans" w:cs="Noto Sans"/>
          <w:sz w:val="20"/>
          <w:szCs w:val="20"/>
        </w:rPr>
        <w:t xml:space="preserve"> join to the WER case count for that week (WMO, 2017; Zhang et al., 2011).</w:t>
      </w:r>
    </w:p>
    <w:p w14:paraId="1F3E6771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792AF0C6" w14:textId="77777777" w:rsidR="00FF4BA2" w:rsidRPr="00FF4BA2" w:rsidRDefault="00FF4BA2" w:rsidP="00FF4BA2">
      <w:pPr>
        <w:pStyle w:val="Heading1"/>
      </w:pPr>
      <w:r w:rsidRPr="00FF4BA2">
        <w:t>12) Variable dictionary (to keep columns unambiguous)</w:t>
      </w:r>
    </w:p>
    <w:p w14:paraId="7F63C773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Daily district inputs (after area weighting).</w:t>
      </w:r>
      <w:r w:rsidRPr="00FF4BA2">
        <w:rPr>
          <w:rFonts w:ascii="Noto Sans" w:hAnsi="Noto Sans" w:cs="Noto Sans"/>
          <w:sz w:val="20"/>
          <w:szCs w:val="20"/>
        </w:rPr>
        <w:t xml:space="preserve">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ta_min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ta_max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(°C);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td_mean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(°C);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rh_mean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(%);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vpd_mean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(kPa);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wbgt_mean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(°C, when available);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ssrd_MJ_mean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(MJ m</w:t>
      </w:r>
      <w:r w:rsidRPr="00FF4BA2">
        <w:rPr>
          <w:rFonts w:ascii="Cambria Math" w:hAnsi="Cambria Math" w:cs="Cambria Math"/>
          <w:sz w:val="20"/>
          <w:szCs w:val="20"/>
        </w:rPr>
        <w:t>⁻</w:t>
      </w:r>
      <w:r w:rsidRPr="00FF4BA2">
        <w:rPr>
          <w:rFonts w:ascii="Noto Sans" w:hAnsi="Noto Sans" w:cs="Noto Sans"/>
          <w:sz w:val="20"/>
          <w:szCs w:val="20"/>
        </w:rPr>
        <w:t>² day</w:t>
      </w:r>
      <w:r w:rsidRPr="00FF4BA2">
        <w:rPr>
          <w:rFonts w:ascii="Cambria Math" w:hAnsi="Cambria Math" w:cs="Cambria Math"/>
          <w:sz w:val="20"/>
          <w:szCs w:val="20"/>
        </w:rPr>
        <w:t>⁻</w:t>
      </w:r>
      <w:r w:rsidRPr="00FF4BA2">
        <w:rPr>
          <w:rFonts w:ascii="Noto Sans" w:hAnsi="Noto Sans" w:cs="Noto Sans"/>
          <w:sz w:val="20"/>
          <w:szCs w:val="20"/>
        </w:rPr>
        <w:t xml:space="preserve">¹);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tp_sum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mtpr_sum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(mm day</w:t>
      </w:r>
      <w:r w:rsidRPr="00FF4BA2">
        <w:rPr>
          <w:rFonts w:ascii="Cambria Math" w:hAnsi="Cambria Math" w:cs="Cambria Math"/>
          <w:sz w:val="20"/>
          <w:szCs w:val="20"/>
        </w:rPr>
        <w:t>⁻</w:t>
      </w:r>
      <w:r w:rsidRPr="00FF4BA2">
        <w:rPr>
          <w:rFonts w:ascii="Noto Sans" w:hAnsi="Noto Sans" w:cs="Noto Sans"/>
          <w:sz w:val="20"/>
          <w:szCs w:val="20"/>
        </w:rPr>
        <w:t>¹); date (local); district.</w:t>
      </w:r>
    </w:p>
    <w:p w14:paraId="31E779CB" w14:textId="77777777" w:rsid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b/>
          <w:bCs/>
          <w:sz w:val="20"/>
          <w:szCs w:val="20"/>
        </w:rPr>
        <w:t>Weekly features (illustrative, not exhaustive).</w:t>
      </w:r>
      <w:r w:rsidRPr="00FF4BA2">
        <w:rPr>
          <w:rFonts w:ascii="Noto Sans" w:hAnsi="Noto Sans" w:cs="Noto Sans"/>
          <w:sz w:val="20"/>
          <w:szCs w:val="20"/>
        </w:rPr>
        <w:br/>
        <w:t xml:space="preserve">Temperature: </w:t>
      </w:r>
      <w:proofErr w:type="spellStart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>tmean_mean</w:t>
      </w:r>
      <w:proofErr w:type="spellEnd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>tmax_mean</w:t>
      </w:r>
      <w:proofErr w:type="spellEnd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 xml:space="preserve">, tmax_p90, tmax_p95, </w:t>
      </w:r>
      <w:proofErr w:type="spellStart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>tmax_range</w:t>
      </w:r>
      <w:proofErr w:type="spellEnd"/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t>.</w:t>
      </w:r>
      <w:r w:rsidRPr="00FF4BA2">
        <w:rPr>
          <w:rFonts w:ascii="Roboto" w:hAnsi="Roboto" w:cs="Noto Sans"/>
          <w:color w:val="808080" w:themeColor="background1" w:themeShade="80"/>
          <w:sz w:val="20"/>
          <w:szCs w:val="20"/>
        </w:rPr>
        <w:br/>
      </w:r>
      <w:r w:rsidRPr="00FF4BA2">
        <w:rPr>
          <w:rFonts w:ascii="Noto Sans" w:hAnsi="Noto Sans" w:cs="Noto Sans"/>
          <w:sz w:val="20"/>
          <w:szCs w:val="20"/>
        </w:rPr>
        <w:t xml:space="preserve">Humidity/dryness: </w:t>
      </w:r>
      <w:proofErr w:type="spellStart"/>
      <w:r w:rsidRPr="00FF4BA2">
        <w:rPr>
          <w:rFonts w:ascii="Noto Sans" w:hAnsi="Noto Sans" w:cs="Noto Sans"/>
          <w:sz w:val="20"/>
          <w:szCs w:val="20"/>
        </w:rPr>
        <w:t>rh_mean_week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vpd_mean_week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 xml:space="preserve">Radiation: </w:t>
      </w:r>
      <w:proofErr w:type="spellStart"/>
      <w:r w:rsidRPr="00FF4BA2">
        <w:rPr>
          <w:rFonts w:ascii="Noto Sans" w:hAnsi="Noto Sans" w:cs="Noto Sans"/>
          <w:sz w:val="20"/>
          <w:szCs w:val="20"/>
        </w:rPr>
        <w:t>ssrd_MJ_mean_week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 xml:space="preserve">Precipitation: </w:t>
      </w:r>
      <w:proofErr w:type="spellStart"/>
      <w:r w:rsidRPr="00FF4BA2">
        <w:rPr>
          <w:rFonts w:ascii="Noto Sans" w:hAnsi="Noto Sans" w:cs="Noto Sans"/>
          <w:sz w:val="20"/>
          <w:szCs w:val="20"/>
        </w:rPr>
        <w:t>precip_tp_sum_week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precip_mtpr_sum_week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wet_days_ge10_tp, wet_days_ge10_mtpr, max3d_tp, max3d_mtpr,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wet_spell_maxlen_tp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 xml:space="preserve">Coverage: </w:t>
      </w:r>
      <w:proofErr w:type="spellStart"/>
      <w:r w:rsidRPr="00FF4BA2">
        <w:rPr>
          <w:rFonts w:ascii="Noto Sans" w:hAnsi="Noto Sans" w:cs="Noto Sans"/>
          <w:sz w:val="20"/>
          <w:szCs w:val="20"/>
        </w:rPr>
        <w:t>n_days_week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>Anomalies: *_</w:t>
      </w:r>
      <w:proofErr w:type="spellStart"/>
      <w:r w:rsidRPr="00FF4BA2">
        <w:rPr>
          <w:rFonts w:ascii="Noto Sans" w:hAnsi="Noto Sans" w:cs="Noto Sans"/>
          <w:sz w:val="20"/>
          <w:szCs w:val="20"/>
        </w:rPr>
        <w:t>anom</w:t>
      </w:r>
      <w:proofErr w:type="spellEnd"/>
      <w:r w:rsidRPr="00FF4BA2">
        <w:rPr>
          <w:rFonts w:ascii="Noto Sans" w:hAnsi="Noto Sans" w:cs="Noto Sans"/>
          <w:sz w:val="20"/>
          <w:szCs w:val="20"/>
        </w:rPr>
        <w:t>, *_</w:t>
      </w:r>
      <w:proofErr w:type="spellStart"/>
      <w:r w:rsidRPr="00FF4BA2">
        <w:rPr>
          <w:rFonts w:ascii="Noto Sans" w:hAnsi="Noto Sans" w:cs="Noto Sans"/>
          <w:sz w:val="20"/>
          <w:szCs w:val="20"/>
        </w:rPr>
        <w:t>pct_normal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 xml:space="preserve">Memory: *_lag1 … *_lag6; *_roll2w_mean, *_roll4w_sum;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ewap_tp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ewap_mtpr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  <w:r w:rsidRPr="00FF4BA2">
        <w:rPr>
          <w:rFonts w:ascii="Noto Sans" w:hAnsi="Noto Sans" w:cs="Noto Sans"/>
          <w:sz w:val="20"/>
          <w:szCs w:val="20"/>
        </w:rPr>
        <w:br/>
        <w:t xml:space="preserve">Keys for merging: district,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date_start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date_end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(epi week), year,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week_of_year</w:t>
      </w:r>
      <w:proofErr w:type="spellEnd"/>
      <w:r w:rsidRPr="00FF4BA2">
        <w:rPr>
          <w:rFonts w:ascii="Noto Sans" w:hAnsi="Noto Sans" w:cs="Noto Sans"/>
          <w:sz w:val="20"/>
          <w:szCs w:val="20"/>
        </w:rPr>
        <w:t>.</w:t>
      </w:r>
    </w:p>
    <w:p w14:paraId="5BAB37D3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183833B2" w14:textId="77777777" w:rsidR="00FF4BA2" w:rsidRPr="00FF4BA2" w:rsidRDefault="00FF4BA2" w:rsidP="00FF4BA2">
      <w:pPr>
        <w:pStyle w:val="Heading1"/>
      </w:pPr>
      <w:r w:rsidRPr="00FF4BA2">
        <w:t>13) Practical notes on reproducibility and QA</w:t>
      </w:r>
    </w:p>
    <w:p w14:paraId="3F23EA10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Use </w:t>
      </w:r>
      <w:r w:rsidRPr="00FF4BA2">
        <w:rPr>
          <w:rFonts w:ascii="Noto Sans" w:hAnsi="Noto Sans" w:cs="Noto Sans"/>
          <w:b/>
          <w:bCs/>
          <w:sz w:val="20"/>
          <w:szCs w:val="20"/>
        </w:rPr>
        <w:t>fixed CRS codes</w:t>
      </w:r>
      <w:r w:rsidRPr="00FF4BA2">
        <w:rPr>
          <w:rFonts w:ascii="Noto Sans" w:hAnsi="Noto Sans" w:cs="Noto Sans"/>
          <w:sz w:val="20"/>
          <w:szCs w:val="20"/>
        </w:rPr>
        <w:t xml:space="preserve"> (e.g., EPSG:6933 for equal-area operations) and </w:t>
      </w:r>
      <w:r w:rsidRPr="00FF4BA2">
        <w:rPr>
          <w:rFonts w:ascii="Noto Sans" w:hAnsi="Noto Sans" w:cs="Noto Sans"/>
          <w:b/>
          <w:bCs/>
          <w:sz w:val="20"/>
          <w:szCs w:val="20"/>
        </w:rPr>
        <w:t>seeded splits</w:t>
      </w:r>
      <w:r w:rsidRPr="00FF4BA2">
        <w:rPr>
          <w:rFonts w:ascii="Noto Sans" w:hAnsi="Noto Sans" w:cs="Noto Sans"/>
          <w:sz w:val="20"/>
          <w:szCs w:val="20"/>
        </w:rPr>
        <w:t xml:space="preserve"> for cross-validation. Keep a </w:t>
      </w:r>
      <w:r w:rsidRPr="00FF4BA2">
        <w:rPr>
          <w:rFonts w:ascii="Noto Sans" w:hAnsi="Noto Sans" w:cs="Noto Sans"/>
          <w:b/>
          <w:bCs/>
          <w:sz w:val="20"/>
          <w:szCs w:val="20"/>
        </w:rPr>
        <w:t>coverage</w:t>
      </w:r>
      <w:r w:rsidRPr="00FF4BA2">
        <w:rPr>
          <w:rFonts w:ascii="Noto Sans" w:hAnsi="Noto Sans" w:cs="Noto Sans"/>
          <w:sz w:val="20"/>
          <w:szCs w:val="20"/>
        </w:rPr>
        <w:t xml:space="preserve"> column and a short </w:t>
      </w:r>
      <w:r w:rsidRPr="00FF4BA2">
        <w:rPr>
          <w:rFonts w:ascii="Noto Sans" w:hAnsi="Noto Sans" w:cs="Noto Sans"/>
          <w:b/>
          <w:bCs/>
          <w:sz w:val="20"/>
          <w:szCs w:val="20"/>
        </w:rPr>
        <w:t>QA vignette</w:t>
      </w:r>
      <w:r w:rsidRPr="00FF4BA2">
        <w:rPr>
          <w:rFonts w:ascii="Noto Sans" w:hAnsi="Noto Sans" w:cs="Noto Sans"/>
          <w:sz w:val="20"/>
          <w:szCs w:val="20"/>
        </w:rPr>
        <w:t xml:space="preserve"> in your repo showing the checks above on a recent month. When possible, compare a subset of ERA5 weekly rainfall to station-derived weekly totals to calibrate expectations (Simmons et al., 2018).</w:t>
      </w:r>
    </w:p>
    <w:p w14:paraId="5FD73CB4" w14:textId="310EEBE0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3B293BBE" w14:textId="77777777" w:rsidR="00FF4BA2" w:rsidRPr="00FF4BA2" w:rsidRDefault="00FF4BA2" w:rsidP="00FF4BA2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23BB6318" w14:textId="77777777" w:rsidR="00FF4BA2" w:rsidRDefault="00FF4BA2" w:rsidP="00FF4BA2">
      <w:pPr>
        <w:rPr>
          <w:rFonts w:ascii="Noto Sans" w:hAnsi="Noto Sans" w:cs="Noto Sans"/>
          <w:b/>
          <w:bCs/>
          <w:sz w:val="20"/>
          <w:szCs w:val="20"/>
        </w:rPr>
      </w:pPr>
      <w:r>
        <w:rPr>
          <w:rFonts w:ascii="Noto Sans" w:hAnsi="Noto Sans" w:cs="Noto Sans"/>
          <w:b/>
          <w:bCs/>
          <w:sz w:val="20"/>
          <w:szCs w:val="20"/>
        </w:rPr>
        <w:br w:type="page"/>
      </w:r>
    </w:p>
    <w:p w14:paraId="5F40BDE0" w14:textId="19105C8E" w:rsidR="00FF4BA2" w:rsidRPr="00FF4BA2" w:rsidRDefault="00FF4BA2" w:rsidP="00FF4BA2">
      <w:pPr>
        <w:pStyle w:val="Heading1"/>
      </w:pPr>
      <w:r w:rsidRPr="00FF4BA2">
        <w:lastRenderedPageBreak/>
        <w:t>References</w:t>
      </w:r>
    </w:p>
    <w:p w14:paraId="51C11736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Apley, D. W., &amp; Zhu, J. (2020). Visualizing the effects of predictor variables in black box supervised learning models.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the Royal Statistical Society: Series B (Statistical Methodology), 82</w:t>
      </w:r>
      <w:r w:rsidRPr="00FF4BA2">
        <w:rPr>
          <w:rFonts w:ascii="Noto Sans" w:hAnsi="Noto Sans" w:cs="Noto Sans"/>
          <w:sz w:val="20"/>
          <w:szCs w:val="20"/>
        </w:rPr>
        <w:t xml:space="preserve">(4), 1059–1086. </w:t>
      </w:r>
      <w:hyperlink r:id="rId5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https://doi.org/10.1111/rssb.12377</w:t>
        </w:r>
      </w:hyperlink>
    </w:p>
    <w:p w14:paraId="77A44E7A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sz w:val="20"/>
          <w:szCs w:val="20"/>
        </w:rPr>
        <w:t>Bergmeir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C., &amp; Benítez, J. M. (2012). On the use of cross-validation for time series predictor evaluation. </w:t>
      </w:r>
      <w:r w:rsidRPr="00FF4BA2">
        <w:rPr>
          <w:rFonts w:ascii="Noto Sans" w:hAnsi="Noto Sans" w:cs="Noto Sans"/>
          <w:i/>
          <w:iCs/>
          <w:sz w:val="20"/>
          <w:szCs w:val="20"/>
        </w:rPr>
        <w:t>Computational Statistics &amp; Data Analysis, 70</w:t>
      </w:r>
      <w:r w:rsidRPr="00FF4BA2">
        <w:rPr>
          <w:rFonts w:ascii="Noto Sans" w:hAnsi="Noto Sans" w:cs="Noto Sans"/>
          <w:sz w:val="20"/>
          <w:szCs w:val="20"/>
        </w:rPr>
        <w:t xml:space="preserve">, 324–335. </w:t>
      </w:r>
      <w:hyperlink r:id="rId6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https://doi.org/10.1016/j.csda.2012.10.020</w:t>
        </w:r>
      </w:hyperlink>
    </w:p>
    <w:p w14:paraId="756392AE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Bhaskaran, K., Gasparrini, A., Hajat, S., Smeeth, L., &amp; Armstrong, B. (2013). Time series regression studies in environmental epidemiology. </w:t>
      </w:r>
      <w:r w:rsidRPr="00FF4BA2">
        <w:rPr>
          <w:rFonts w:ascii="Noto Sans" w:hAnsi="Noto Sans" w:cs="Noto Sans"/>
          <w:i/>
          <w:iCs/>
          <w:sz w:val="20"/>
          <w:szCs w:val="20"/>
        </w:rPr>
        <w:t>International Journal of Epidemiology, 42</w:t>
      </w:r>
      <w:r w:rsidRPr="00FF4BA2">
        <w:rPr>
          <w:rFonts w:ascii="Noto Sans" w:hAnsi="Noto Sans" w:cs="Noto Sans"/>
          <w:sz w:val="20"/>
          <w:szCs w:val="20"/>
        </w:rPr>
        <w:t xml:space="preserve">(4), 1187–1195. </w:t>
      </w:r>
      <w:hyperlink r:id="rId7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https://doi.org/10.1093/ije/dyt092</w:t>
        </w:r>
      </w:hyperlink>
    </w:p>
    <w:p w14:paraId="07FF20DD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Carroll, R. J., Ruppert, D., Stefanski, L. A., &amp;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Crainiceanu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C. M. (2006). </w:t>
      </w:r>
      <w:r w:rsidRPr="00FF4BA2">
        <w:rPr>
          <w:rFonts w:ascii="Noto Sans" w:hAnsi="Noto Sans" w:cs="Noto Sans"/>
          <w:i/>
          <w:iCs/>
          <w:sz w:val="20"/>
          <w:szCs w:val="20"/>
        </w:rPr>
        <w:t>Measurement error in nonlinear models</w:t>
      </w:r>
      <w:r w:rsidRPr="00FF4BA2">
        <w:rPr>
          <w:rFonts w:ascii="Noto Sans" w:hAnsi="Noto Sans" w:cs="Noto Sans"/>
          <w:sz w:val="20"/>
          <w:szCs w:val="20"/>
        </w:rPr>
        <w:t xml:space="preserve"> (2nd ed.). Chapman &amp; Hall/CRC. </w:t>
      </w:r>
      <w:hyperlink r:id="rId8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https://doi.org/10.1201/9781420010138</w:t>
        </w:r>
      </w:hyperlink>
    </w:p>
    <w:p w14:paraId="619C774E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Dormann, C. F., Elith, J., Bacher, S., Buchmann, C., Carl, G., Carré, G., García Marquéz, J. R., Gruber, B., Lafourcade, B., Leitão, P. J.,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Münkemüller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T., McClean, C., Osborne, P. E., Reineking, B., Schröder, B., Skidmore, A. K.,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Zurell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D., &amp; Lautenbach, S. (2013). Collinearity: A review of methods to deal with it and a simulation study evaluating their performance. </w:t>
      </w:r>
      <w:proofErr w:type="spellStart"/>
      <w:r w:rsidRPr="00FF4BA2">
        <w:rPr>
          <w:rFonts w:ascii="Noto Sans" w:hAnsi="Noto Sans" w:cs="Noto Sans"/>
          <w:i/>
          <w:iCs/>
          <w:sz w:val="20"/>
          <w:szCs w:val="20"/>
        </w:rPr>
        <w:t>Ecography</w:t>
      </w:r>
      <w:proofErr w:type="spellEnd"/>
      <w:r w:rsidRPr="00FF4BA2">
        <w:rPr>
          <w:rFonts w:ascii="Noto Sans" w:hAnsi="Noto Sans" w:cs="Noto Sans"/>
          <w:i/>
          <w:iCs/>
          <w:sz w:val="20"/>
          <w:szCs w:val="20"/>
        </w:rPr>
        <w:t>, 36</w:t>
      </w:r>
      <w:r w:rsidRPr="00FF4BA2">
        <w:rPr>
          <w:rFonts w:ascii="Noto Sans" w:hAnsi="Noto Sans" w:cs="Noto Sans"/>
          <w:sz w:val="20"/>
          <w:szCs w:val="20"/>
        </w:rPr>
        <w:t xml:space="preserve">(1), 27–46. </w:t>
      </w:r>
      <w:hyperlink r:id="rId9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https://doi.org/10.1111/j.1600-0587.2012.07348.x</w:t>
        </w:r>
      </w:hyperlink>
    </w:p>
    <w:p w14:paraId="4A99CDF1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Fotheringham, A. S., &amp; Wong, D. W. S. (1991). The modifiable areal unit problem in multivariate statistical analysis. </w:t>
      </w:r>
      <w:r w:rsidRPr="00FF4BA2">
        <w:rPr>
          <w:rFonts w:ascii="Noto Sans" w:hAnsi="Noto Sans" w:cs="Noto Sans"/>
          <w:i/>
          <w:iCs/>
          <w:sz w:val="20"/>
          <w:szCs w:val="20"/>
        </w:rPr>
        <w:t>Environment and Planning A, 23</w:t>
      </w:r>
      <w:r w:rsidRPr="00FF4BA2">
        <w:rPr>
          <w:rFonts w:ascii="Noto Sans" w:hAnsi="Noto Sans" w:cs="Noto Sans"/>
          <w:sz w:val="20"/>
          <w:szCs w:val="20"/>
        </w:rPr>
        <w:t xml:space="preserve">(7), 1025–1044. </w:t>
      </w:r>
      <w:hyperlink r:id="rId10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https://doi.org/10.1068/a231025</w:t>
        </w:r>
      </w:hyperlink>
    </w:p>
    <w:p w14:paraId="097E71E4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Gasparrini, A. (2010). Distributed lag non-linear models. </w:t>
      </w:r>
      <w:r w:rsidRPr="00FF4BA2">
        <w:rPr>
          <w:rFonts w:ascii="Noto Sans" w:hAnsi="Noto Sans" w:cs="Noto Sans"/>
          <w:i/>
          <w:iCs/>
          <w:sz w:val="20"/>
          <w:szCs w:val="20"/>
        </w:rPr>
        <w:t>Statistics in Medicine, 29</w:t>
      </w:r>
      <w:r w:rsidRPr="00FF4BA2">
        <w:rPr>
          <w:rFonts w:ascii="Noto Sans" w:hAnsi="Noto Sans" w:cs="Noto Sans"/>
          <w:sz w:val="20"/>
          <w:szCs w:val="20"/>
        </w:rPr>
        <w:t xml:space="preserve">(21), 2224–2234. </w:t>
      </w:r>
      <w:hyperlink r:id="rId11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https://doi.org/10.1002/sim.3940</w:t>
        </w:r>
      </w:hyperlink>
    </w:p>
    <w:p w14:paraId="52E3FB6A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Gasparrini, A. (2021). The case time series design. </w:t>
      </w:r>
      <w:r w:rsidRPr="00FF4BA2">
        <w:rPr>
          <w:rFonts w:ascii="Noto Sans" w:hAnsi="Noto Sans" w:cs="Noto Sans"/>
          <w:i/>
          <w:iCs/>
          <w:sz w:val="20"/>
          <w:szCs w:val="20"/>
        </w:rPr>
        <w:t>Epidemiology, 32</w:t>
      </w:r>
      <w:r w:rsidRPr="00FF4BA2">
        <w:rPr>
          <w:rFonts w:ascii="Noto Sans" w:hAnsi="Noto Sans" w:cs="Noto Sans"/>
          <w:sz w:val="20"/>
          <w:szCs w:val="20"/>
        </w:rPr>
        <w:t xml:space="preserve">(6), 829–837. </w:t>
      </w:r>
      <w:hyperlink r:id="rId12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https://doi.org/10.1097/EDE.0000000000001390</w:t>
        </w:r>
      </w:hyperlink>
    </w:p>
    <w:p w14:paraId="0F30E535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Gasparrini, A. (2022). A tutorial on the case time series design for small-area analysis. </w:t>
      </w:r>
      <w:r w:rsidRPr="00FF4BA2">
        <w:rPr>
          <w:rFonts w:ascii="Noto Sans" w:hAnsi="Noto Sans" w:cs="Noto Sans"/>
          <w:i/>
          <w:iCs/>
          <w:sz w:val="20"/>
          <w:szCs w:val="20"/>
        </w:rPr>
        <w:t>International Journal of Health Geographics, 21</w:t>
      </w:r>
      <w:r w:rsidRPr="00FF4BA2">
        <w:rPr>
          <w:rFonts w:ascii="Noto Sans" w:hAnsi="Noto Sans" w:cs="Noto Sans"/>
          <w:sz w:val="20"/>
          <w:szCs w:val="20"/>
        </w:rPr>
        <w:t xml:space="preserve">, 13. </w:t>
      </w:r>
      <w:hyperlink r:id="rId13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https://doi.org/10.1186/s12942-022-00300-2</w:t>
        </w:r>
      </w:hyperlink>
    </w:p>
    <w:p w14:paraId="61D5D19B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sz w:val="20"/>
          <w:szCs w:val="20"/>
        </w:rPr>
        <w:t>Gryparis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A., Paciorek, C. J., Zeka, A., Schwartz, J., &amp; Coull, B. A. (2009). Measurement error caused by spatial misalignment in environmental epidemiology. </w:t>
      </w:r>
      <w:r w:rsidRPr="00FF4BA2">
        <w:rPr>
          <w:rFonts w:ascii="Noto Sans" w:hAnsi="Noto Sans" w:cs="Noto Sans"/>
          <w:i/>
          <w:iCs/>
          <w:sz w:val="20"/>
          <w:szCs w:val="20"/>
        </w:rPr>
        <w:t>Biostatistics, 10</w:t>
      </w:r>
      <w:r w:rsidRPr="00FF4BA2">
        <w:rPr>
          <w:rFonts w:ascii="Noto Sans" w:hAnsi="Noto Sans" w:cs="Noto Sans"/>
          <w:sz w:val="20"/>
          <w:szCs w:val="20"/>
        </w:rPr>
        <w:t xml:space="preserve">(2), 258–274. </w:t>
      </w:r>
      <w:hyperlink r:id="rId14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https://doi.org/10.1093/biostatistics/kxn033</w:t>
        </w:r>
      </w:hyperlink>
    </w:p>
    <w:p w14:paraId="62D71FB7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Janes, H., Sheppard, L., &amp; Lumley, T. (2005). Case-crossover analyses of air pollution exposure data: Referent selection strategies and their implications for bias. </w:t>
      </w:r>
      <w:r w:rsidRPr="00FF4BA2">
        <w:rPr>
          <w:rFonts w:ascii="Noto Sans" w:hAnsi="Noto Sans" w:cs="Noto Sans"/>
          <w:i/>
          <w:iCs/>
          <w:sz w:val="20"/>
          <w:szCs w:val="20"/>
        </w:rPr>
        <w:t>Epidemiology, 16</w:t>
      </w:r>
      <w:r w:rsidRPr="00FF4BA2">
        <w:rPr>
          <w:rFonts w:ascii="Noto Sans" w:hAnsi="Noto Sans" w:cs="Noto Sans"/>
          <w:sz w:val="20"/>
          <w:szCs w:val="20"/>
        </w:rPr>
        <w:t xml:space="preserve">(6), 717–726. </w:t>
      </w:r>
      <w:hyperlink r:id="rId15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https://doi.org/10.1097/01.ede.0000181315.18836.9d</w:t>
        </w:r>
      </w:hyperlink>
    </w:p>
    <w:p w14:paraId="71E8ABB5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Karl, T. R., Nicholls, N., &amp; Ghazi, A. (1999). CLIVAR/GCOS/WMO workshop on indices and indicators for climate extremes: Workshop summary. </w:t>
      </w:r>
      <w:r w:rsidRPr="00FF4BA2">
        <w:rPr>
          <w:rFonts w:ascii="Noto Sans" w:hAnsi="Noto Sans" w:cs="Noto Sans"/>
          <w:i/>
          <w:iCs/>
          <w:sz w:val="20"/>
          <w:szCs w:val="20"/>
        </w:rPr>
        <w:t>Climatic Change, 42</w:t>
      </w:r>
      <w:r w:rsidRPr="00FF4BA2">
        <w:rPr>
          <w:rFonts w:ascii="Noto Sans" w:hAnsi="Noto Sans" w:cs="Noto Sans"/>
          <w:sz w:val="20"/>
          <w:szCs w:val="20"/>
        </w:rPr>
        <w:t xml:space="preserve">(1), 3–7. </w:t>
      </w:r>
      <w:hyperlink r:id="rId16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https://doi.org/10.1023/A:1005491526870</w:t>
        </w:r>
      </w:hyperlink>
    </w:p>
    <w:p w14:paraId="0610451B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Liljegren, J. C., Carhart, R. A., Lawday, P., Tschopp, S., &amp; Sharp, R. (2008). Modeling the wet bulb globe temperature using standard meteorological measurements.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Occupational and Environmental Hygiene, 5</w:t>
      </w:r>
      <w:r w:rsidRPr="00FF4BA2">
        <w:rPr>
          <w:rFonts w:ascii="Noto Sans" w:hAnsi="Noto Sans" w:cs="Noto Sans"/>
          <w:sz w:val="20"/>
          <w:szCs w:val="20"/>
        </w:rPr>
        <w:t xml:space="preserve">(10), 645–655. </w:t>
      </w:r>
      <w:hyperlink r:id="rId17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https://doi.org/10.1080/15459620802310770</w:t>
        </w:r>
      </w:hyperlink>
    </w:p>
    <w:p w14:paraId="3937C426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Lundberg, S. M., &amp; Lee, S.-I. (2017). A unified approach to interpreting model predictions. </w:t>
      </w:r>
      <w:r w:rsidRPr="00FF4BA2">
        <w:rPr>
          <w:rFonts w:ascii="Noto Sans" w:hAnsi="Noto Sans" w:cs="Noto Sans"/>
          <w:i/>
          <w:iCs/>
          <w:sz w:val="20"/>
          <w:szCs w:val="20"/>
        </w:rPr>
        <w:t>Advances in Neural Information Processing Systems, 30</w:t>
      </w:r>
      <w:r w:rsidRPr="00FF4BA2">
        <w:rPr>
          <w:rFonts w:ascii="Noto Sans" w:hAnsi="Noto Sans" w:cs="Noto Sans"/>
          <w:sz w:val="20"/>
          <w:szCs w:val="20"/>
        </w:rPr>
        <w:t xml:space="preserve">. </w:t>
      </w:r>
      <w:hyperlink r:id="rId18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https://doi.org/10.48550/arXiv.1705.07874</w:t>
        </w:r>
      </w:hyperlink>
    </w:p>
    <w:p w14:paraId="2B6CA725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Maclure, M. (1991). The case-crossover design: A method for studying transient effects on the risk of acute events. </w:t>
      </w:r>
      <w:r w:rsidRPr="00FF4BA2">
        <w:rPr>
          <w:rFonts w:ascii="Noto Sans" w:hAnsi="Noto Sans" w:cs="Noto Sans"/>
          <w:i/>
          <w:iCs/>
          <w:sz w:val="20"/>
          <w:szCs w:val="20"/>
        </w:rPr>
        <w:t>American Journal of Epidemiology, 133</w:t>
      </w:r>
      <w:r w:rsidRPr="00FF4BA2">
        <w:rPr>
          <w:rFonts w:ascii="Noto Sans" w:hAnsi="Noto Sans" w:cs="Noto Sans"/>
          <w:sz w:val="20"/>
          <w:szCs w:val="20"/>
        </w:rPr>
        <w:t xml:space="preserve">(2), 144–153. </w:t>
      </w:r>
      <w:hyperlink r:id="rId19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https://doi.org/10.1093/oxfordjournals.aje.a115853</w:t>
        </w:r>
      </w:hyperlink>
    </w:p>
    <w:p w14:paraId="0254F8E8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sz w:val="20"/>
          <w:szCs w:val="20"/>
        </w:rPr>
        <w:lastRenderedPageBreak/>
        <w:t>Meinshausen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N., &amp;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Bühlmann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P. (2010). Stability selection.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the Royal Statistical Society: Series B (Statistical Methodology), 72</w:t>
      </w:r>
      <w:r w:rsidRPr="00FF4BA2">
        <w:rPr>
          <w:rFonts w:ascii="Noto Sans" w:hAnsi="Noto Sans" w:cs="Noto Sans"/>
          <w:sz w:val="20"/>
          <w:szCs w:val="20"/>
        </w:rPr>
        <w:t xml:space="preserve">(4), 417–473. </w:t>
      </w:r>
      <w:hyperlink r:id="rId20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https://doi.org/10.1111/j.1467-9868.2010.00740.x</w:t>
        </w:r>
      </w:hyperlink>
    </w:p>
    <w:p w14:paraId="10DD942E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Mennis, J. (2003). Generating surface models of population using </w:t>
      </w:r>
      <w:proofErr w:type="spellStart"/>
      <w:r w:rsidRPr="00FF4BA2">
        <w:rPr>
          <w:rFonts w:ascii="Noto Sans" w:hAnsi="Noto Sans" w:cs="Noto Sans"/>
          <w:sz w:val="20"/>
          <w:szCs w:val="20"/>
        </w:rPr>
        <w:t>dasymetric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mapping. </w:t>
      </w:r>
      <w:r w:rsidRPr="00FF4BA2">
        <w:rPr>
          <w:rFonts w:ascii="Noto Sans" w:hAnsi="Noto Sans" w:cs="Noto Sans"/>
          <w:i/>
          <w:iCs/>
          <w:sz w:val="20"/>
          <w:szCs w:val="20"/>
        </w:rPr>
        <w:t>The Professional Geographer, 55</w:t>
      </w:r>
      <w:r w:rsidRPr="00FF4BA2">
        <w:rPr>
          <w:rFonts w:ascii="Noto Sans" w:hAnsi="Noto Sans" w:cs="Noto Sans"/>
          <w:sz w:val="20"/>
          <w:szCs w:val="20"/>
        </w:rPr>
        <w:t xml:space="preserve">(1), 31–42. </w:t>
      </w:r>
      <w:hyperlink r:id="rId21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https://doi.org/10.1111/0033-0124.10042</w:t>
        </w:r>
      </w:hyperlink>
    </w:p>
    <w:p w14:paraId="1F8A6F86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Novick, K. A., Ficklin, D. L., Stoy, P. C., Williams, C. A., Bohrer, G., Oishi, A. C., Papuga, S. A., Blanken, P. D., Noormets, A., Sulman, B. N., Scott, R. L., Wang, L., &amp; Phillips, R. P. (2016). The increasing importance of atmospheric demand for ecosystem water and carbon fluxes. </w:t>
      </w:r>
      <w:r w:rsidRPr="00FF4BA2">
        <w:rPr>
          <w:rFonts w:ascii="Noto Sans" w:hAnsi="Noto Sans" w:cs="Noto Sans"/>
          <w:i/>
          <w:iCs/>
          <w:sz w:val="20"/>
          <w:szCs w:val="20"/>
        </w:rPr>
        <w:t>Nature Climate Change, 6</w:t>
      </w:r>
      <w:r w:rsidRPr="00FF4BA2">
        <w:rPr>
          <w:rFonts w:ascii="Noto Sans" w:hAnsi="Noto Sans" w:cs="Noto Sans"/>
          <w:sz w:val="20"/>
          <w:szCs w:val="20"/>
        </w:rPr>
        <w:t xml:space="preserve">(11), 1023–1027. </w:t>
      </w:r>
      <w:hyperlink r:id="rId22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https://doi.org/10.1038/nclimate3114</w:t>
        </w:r>
      </w:hyperlink>
    </w:p>
    <w:p w14:paraId="1CE524C0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Peng, R. D., Dominici, F., &amp; Louis, T. A. (2006). Model choice in time series studies of air pollution and mortality.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the Royal Statistical Society: Series A (Statistics in Society), 169</w:t>
      </w:r>
      <w:r w:rsidRPr="00FF4BA2">
        <w:rPr>
          <w:rFonts w:ascii="Noto Sans" w:hAnsi="Noto Sans" w:cs="Noto Sans"/>
          <w:sz w:val="20"/>
          <w:szCs w:val="20"/>
        </w:rPr>
        <w:t xml:space="preserve">(2), 179–203. </w:t>
      </w:r>
      <w:hyperlink r:id="rId23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https://doi.org/10.1111/j.1467-985X.2006.00410.x</w:t>
        </w:r>
      </w:hyperlink>
    </w:p>
    <w:p w14:paraId="1DBF8EA7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Simmons, A. J., Poli, P., Dee, D. P., Berrisford, P.,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Hersbach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H., Kobayashi, S., &amp; </w:t>
      </w:r>
      <w:proofErr w:type="spellStart"/>
      <w:r w:rsidRPr="00FF4BA2">
        <w:rPr>
          <w:rFonts w:ascii="Noto Sans" w:hAnsi="Noto Sans" w:cs="Noto Sans"/>
          <w:sz w:val="20"/>
          <w:szCs w:val="20"/>
        </w:rPr>
        <w:t>Peubey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C. (2018). A reassessment of temperature variations and trends from global </w:t>
      </w:r>
      <w:proofErr w:type="spellStart"/>
      <w:r w:rsidRPr="00FF4BA2">
        <w:rPr>
          <w:rFonts w:ascii="Noto Sans" w:hAnsi="Noto Sans" w:cs="Noto Sans"/>
          <w:sz w:val="20"/>
          <w:szCs w:val="20"/>
        </w:rPr>
        <w:t>reanalyses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. </w:t>
      </w:r>
      <w:r w:rsidRPr="00FF4BA2">
        <w:rPr>
          <w:rFonts w:ascii="Noto Sans" w:hAnsi="Noto Sans" w:cs="Noto Sans"/>
          <w:i/>
          <w:iCs/>
          <w:sz w:val="20"/>
          <w:szCs w:val="20"/>
        </w:rPr>
        <w:t>Quarterly Journal of the Royal Meteorological Society, 144</w:t>
      </w:r>
      <w:r w:rsidRPr="00FF4BA2">
        <w:rPr>
          <w:rFonts w:ascii="Noto Sans" w:hAnsi="Noto Sans" w:cs="Noto Sans"/>
          <w:sz w:val="20"/>
          <w:szCs w:val="20"/>
        </w:rPr>
        <w:t xml:space="preserve">(713), 29–49. </w:t>
      </w:r>
      <w:hyperlink r:id="rId24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https://doi.org/10.1002/qj.3311</w:t>
        </w:r>
      </w:hyperlink>
    </w:p>
    <w:p w14:paraId="58D05949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sz w:val="20"/>
          <w:szCs w:val="20"/>
        </w:rPr>
        <w:t>Tibshirani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R. (1996). Regression shrinkage and selection via the LASSO.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the Royal Statistical Society: Series B (Methodological), 58</w:t>
      </w:r>
      <w:r w:rsidRPr="00FF4BA2">
        <w:rPr>
          <w:rFonts w:ascii="Noto Sans" w:hAnsi="Noto Sans" w:cs="Noto Sans"/>
          <w:sz w:val="20"/>
          <w:szCs w:val="20"/>
        </w:rPr>
        <w:t xml:space="preserve">(1), 267–288. </w:t>
      </w:r>
      <w:hyperlink r:id="rId25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https://doi.org/10.1111/j.2517-6161.1996.tb02080.x</w:t>
        </w:r>
      </w:hyperlink>
    </w:p>
    <w:p w14:paraId="4BFE1D56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Tran, H., Nguyen-Le, D., Le, D. H., Truong, H. Q., Ngo-Duc, T., Ho, T. C., &amp; Pham, T. T. (2019). A multi-model assessment of precipitation products over Vietnam. </w:t>
      </w:r>
      <w:r w:rsidRPr="00FF4BA2">
        <w:rPr>
          <w:rFonts w:ascii="Noto Sans" w:hAnsi="Noto Sans" w:cs="Noto Sans"/>
          <w:i/>
          <w:iCs/>
          <w:sz w:val="20"/>
          <w:szCs w:val="20"/>
        </w:rPr>
        <w:t>Atmospheric Research, 227</w:t>
      </w:r>
      <w:r w:rsidRPr="00FF4BA2">
        <w:rPr>
          <w:rFonts w:ascii="Noto Sans" w:hAnsi="Noto Sans" w:cs="Noto Sans"/>
          <w:sz w:val="20"/>
          <w:szCs w:val="20"/>
        </w:rPr>
        <w:t xml:space="preserve">, 190–202. </w:t>
      </w:r>
      <w:hyperlink r:id="rId26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https://doi.org/10.1016/j.atmosres.2019.05.017</w:t>
        </w:r>
      </w:hyperlink>
    </w:p>
    <w:p w14:paraId="6EB84195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proofErr w:type="spellStart"/>
      <w:r w:rsidRPr="00FF4BA2">
        <w:rPr>
          <w:rFonts w:ascii="Noto Sans" w:hAnsi="Noto Sans" w:cs="Noto Sans"/>
          <w:sz w:val="20"/>
          <w:szCs w:val="20"/>
        </w:rPr>
        <w:t>Vatcheva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K. P., Lee, M., McCormick, J. B., &amp; Rahbar, M. H. (2016). Multicollinearity in regression analyses in medical research. </w:t>
      </w:r>
      <w:r w:rsidRPr="00FF4BA2">
        <w:rPr>
          <w:rFonts w:ascii="Noto Sans" w:hAnsi="Noto Sans" w:cs="Noto Sans"/>
          <w:i/>
          <w:iCs/>
          <w:sz w:val="20"/>
          <w:szCs w:val="20"/>
        </w:rPr>
        <w:t>North American Journal of Medical Sciences, 8</w:t>
      </w:r>
      <w:r w:rsidRPr="00FF4BA2">
        <w:rPr>
          <w:rFonts w:ascii="Noto Sans" w:hAnsi="Noto Sans" w:cs="Noto Sans"/>
          <w:sz w:val="20"/>
          <w:szCs w:val="20"/>
        </w:rPr>
        <w:t xml:space="preserve">(7), 306–311. </w:t>
      </w:r>
      <w:hyperlink r:id="rId27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https://doi.org/10.4103/1947-2714.187146</w:t>
        </w:r>
      </w:hyperlink>
    </w:p>
    <w:p w14:paraId="2DB8ED10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Vicedo-Cabrera, A. M., Sera, F., Guo, Y., Tong, S., Coelho, M., Saldiva, P., Lavigne, E., Correa, P. M., Ortega, N. V., Kan, H., Osorio, S., Kyselý, J., Urban, A., Orru, H.,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Indermitte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E., Jaakkola, J. J. K.,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Ryti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N. R. I., Pascal, M., Goodman, P. G., … Gasparrini, A. (2019). Temperature-related mortality impacts under and beyond Paris Agreement climate change scenarios. </w:t>
      </w:r>
      <w:r w:rsidRPr="00FF4BA2">
        <w:rPr>
          <w:rFonts w:ascii="Noto Sans" w:hAnsi="Noto Sans" w:cs="Noto Sans"/>
          <w:i/>
          <w:iCs/>
          <w:sz w:val="20"/>
          <w:szCs w:val="20"/>
        </w:rPr>
        <w:t>Climatic Change, 153</w:t>
      </w:r>
      <w:r w:rsidRPr="00FF4BA2">
        <w:rPr>
          <w:rFonts w:ascii="Noto Sans" w:hAnsi="Noto Sans" w:cs="Noto Sans"/>
          <w:sz w:val="20"/>
          <w:szCs w:val="20"/>
        </w:rPr>
        <w:t xml:space="preserve">(3–4), 381–395. </w:t>
      </w:r>
      <w:hyperlink r:id="rId28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https://doi.org/10.1007/s10584-019-02483-2</w:t>
        </w:r>
      </w:hyperlink>
    </w:p>
    <w:p w14:paraId="2A6B4313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World Meteorological Organization. (2017). </w:t>
      </w:r>
      <w:r w:rsidRPr="00FF4BA2">
        <w:rPr>
          <w:rFonts w:ascii="Noto Sans" w:hAnsi="Noto Sans" w:cs="Noto Sans"/>
          <w:i/>
          <w:iCs/>
          <w:sz w:val="20"/>
          <w:szCs w:val="20"/>
        </w:rPr>
        <w:t xml:space="preserve">Guidelines on the calculation of climate </w:t>
      </w:r>
      <w:proofErr w:type="spellStart"/>
      <w:r w:rsidRPr="00FF4BA2">
        <w:rPr>
          <w:rFonts w:ascii="Noto Sans" w:hAnsi="Noto Sans" w:cs="Noto Sans"/>
          <w:i/>
          <w:iCs/>
          <w:sz w:val="20"/>
          <w:szCs w:val="20"/>
        </w:rPr>
        <w:t>normals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 (WMO-No. 1203). </w:t>
      </w:r>
      <w:hyperlink r:id="rId29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https://doi.org/10.25607/OBP-38</w:t>
        </w:r>
      </w:hyperlink>
    </w:p>
    <w:p w14:paraId="6FF8F595" w14:textId="77777777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Zhang, X., Alexander, L., </w:t>
      </w:r>
      <w:proofErr w:type="spellStart"/>
      <w:r w:rsidRPr="00FF4BA2">
        <w:rPr>
          <w:rFonts w:ascii="Noto Sans" w:hAnsi="Noto Sans" w:cs="Noto Sans"/>
          <w:sz w:val="20"/>
          <w:szCs w:val="20"/>
        </w:rPr>
        <w:t>Hegerl</w:t>
      </w:r>
      <w:proofErr w:type="spellEnd"/>
      <w:r w:rsidRPr="00FF4BA2">
        <w:rPr>
          <w:rFonts w:ascii="Noto Sans" w:hAnsi="Noto Sans" w:cs="Noto Sans"/>
          <w:sz w:val="20"/>
          <w:szCs w:val="20"/>
        </w:rPr>
        <w:t xml:space="preserve">, G. C., Jones, P., Klein Tank, A., Peterson, T. C., Trewin, B., &amp; Zwiers, F. W. (2011). Indices for monitoring changes in extremes based on daily temperature and precipitation data. </w:t>
      </w:r>
      <w:r w:rsidRPr="00FF4BA2">
        <w:rPr>
          <w:rFonts w:ascii="Noto Sans" w:hAnsi="Noto Sans" w:cs="Noto Sans"/>
          <w:i/>
          <w:iCs/>
          <w:sz w:val="20"/>
          <w:szCs w:val="20"/>
        </w:rPr>
        <w:t>WIREs Climate Change, 2</w:t>
      </w:r>
      <w:r w:rsidRPr="00FF4BA2">
        <w:rPr>
          <w:rFonts w:ascii="Noto Sans" w:hAnsi="Noto Sans" w:cs="Noto Sans"/>
          <w:sz w:val="20"/>
          <w:szCs w:val="20"/>
        </w:rPr>
        <w:t xml:space="preserve">(6), 851–870. </w:t>
      </w:r>
      <w:hyperlink r:id="rId30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https://doi.org/10.1002/wcc.147</w:t>
        </w:r>
      </w:hyperlink>
    </w:p>
    <w:p w14:paraId="2B154C9B" w14:textId="3655EA75" w:rsidR="00FF4BA2" w:rsidRPr="00FF4BA2" w:rsidRDefault="00FF4BA2" w:rsidP="00FF4BA2">
      <w:pPr>
        <w:spacing w:after="60" w:line="240" w:lineRule="auto"/>
        <w:ind w:left="720" w:hanging="720"/>
        <w:rPr>
          <w:rFonts w:ascii="Noto Sans" w:hAnsi="Noto Sans" w:cs="Noto Sans"/>
          <w:sz w:val="20"/>
          <w:szCs w:val="20"/>
        </w:rPr>
      </w:pPr>
      <w:r w:rsidRPr="00FF4BA2">
        <w:rPr>
          <w:rFonts w:ascii="Noto Sans" w:hAnsi="Noto Sans" w:cs="Noto Sans"/>
          <w:sz w:val="20"/>
          <w:szCs w:val="20"/>
        </w:rPr>
        <w:t xml:space="preserve">Zou, H., &amp; Hastie, T. (2005). Regularization and variable selection via the elastic net. </w:t>
      </w:r>
      <w:r w:rsidRPr="00FF4BA2">
        <w:rPr>
          <w:rFonts w:ascii="Noto Sans" w:hAnsi="Noto Sans" w:cs="Noto Sans"/>
          <w:i/>
          <w:iCs/>
          <w:sz w:val="20"/>
          <w:szCs w:val="20"/>
        </w:rPr>
        <w:t>Journal of the Royal Statistical Society: Series B (Statistical Methodology), 67</w:t>
      </w:r>
      <w:r w:rsidRPr="00FF4BA2">
        <w:rPr>
          <w:rFonts w:ascii="Noto Sans" w:hAnsi="Noto Sans" w:cs="Noto Sans"/>
          <w:sz w:val="20"/>
          <w:szCs w:val="20"/>
        </w:rPr>
        <w:t xml:space="preserve">(2), 301–320. </w:t>
      </w:r>
      <w:hyperlink r:id="rId31" w:history="1">
        <w:r w:rsidRPr="00FF4BA2">
          <w:rPr>
            <w:rStyle w:val="Hyperlink"/>
            <w:rFonts w:ascii="Noto Sans" w:hAnsi="Noto Sans" w:cs="Noto Sans"/>
            <w:sz w:val="20"/>
            <w:szCs w:val="20"/>
          </w:rPr>
          <w:t>https://doi.org/10.1111/j.1467-9868.2005.00503.x</w:t>
        </w:r>
      </w:hyperlink>
    </w:p>
    <w:sectPr w:rsidR="00FF4BA2" w:rsidRPr="00FF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636"/>
    <w:multiLevelType w:val="hybridMultilevel"/>
    <w:tmpl w:val="E0A83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F2033"/>
    <w:multiLevelType w:val="hybridMultilevel"/>
    <w:tmpl w:val="DE62F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1911E6"/>
    <w:multiLevelType w:val="multilevel"/>
    <w:tmpl w:val="9570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64344"/>
    <w:multiLevelType w:val="multilevel"/>
    <w:tmpl w:val="B808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916BD"/>
    <w:multiLevelType w:val="hybridMultilevel"/>
    <w:tmpl w:val="063E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325AF9"/>
    <w:multiLevelType w:val="multilevel"/>
    <w:tmpl w:val="739C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F4CB2"/>
    <w:multiLevelType w:val="multilevel"/>
    <w:tmpl w:val="FACE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850A5"/>
    <w:multiLevelType w:val="multilevel"/>
    <w:tmpl w:val="16B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41D7F"/>
    <w:multiLevelType w:val="multilevel"/>
    <w:tmpl w:val="950A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B43A4"/>
    <w:multiLevelType w:val="multilevel"/>
    <w:tmpl w:val="78A0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49012">
    <w:abstractNumId w:val="9"/>
  </w:num>
  <w:num w:numId="2" w16cid:durableId="6176813">
    <w:abstractNumId w:val="2"/>
  </w:num>
  <w:num w:numId="3" w16cid:durableId="796872041">
    <w:abstractNumId w:val="6"/>
  </w:num>
  <w:num w:numId="4" w16cid:durableId="2033917344">
    <w:abstractNumId w:val="5"/>
  </w:num>
  <w:num w:numId="5" w16cid:durableId="1241057859">
    <w:abstractNumId w:val="7"/>
  </w:num>
  <w:num w:numId="6" w16cid:durableId="1717965276">
    <w:abstractNumId w:val="8"/>
  </w:num>
  <w:num w:numId="7" w16cid:durableId="214902319">
    <w:abstractNumId w:val="3"/>
  </w:num>
  <w:num w:numId="8" w16cid:durableId="1336689614">
    <w:abstractNumId w:val="0"/>
  </w:num>
  <w:num w:numId="9" w16cid:durableId="937367399">
    <w:abstractNumId w:val="1"/>
  </w:num>
  <w:num w:numId="10" w16cid:durableId="63683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2"/>
    <w:rsid w:val="001851E8"/>
    <w:rsid w:val="00353A0B"/>
    <w:rsid w:val="00485FA0"/>
    <w:rsid w:val="005203F6"/>
    <w:rsid w:val="008855E9"/>
    <w:rsid w:val="00B048E1"/>
    <w:rsid w:val="00C92212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3BD0"/>
  <w15:chartTrackingRefBased/>
  <w15:docId w15:val="{D3469BC3-8A98-4665-8471-05C74F13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A2"/>
    <w:pPr>
      <w:spacing w:line="240" w:lineRule="auto"/>
      <w:outlineLvl w:val="0"/>
    </w:pPr>
    <w:rPr>
      <w:rFonts w:ascii="Noto Sans" w:hAnsi="Noto Sans" w:cs="Noto Sans"/>
      <w:b/>
      <w:bCs/>
      <w:color w:val="0577B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A2"/>
    <w:rPr>
      <w:rFonts w:ascii="Noto Sans" w:hAnsi="Noto Sans" w:cs="Noto Sans"/>
      <w:b/>
      <w:bCs/>
      <w:color w:val="0577B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B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86/s12942-022-00300-2" TargetMode="External"/><Relationship Id="rId18" Type="http://schemas.openxmlformats.org/officeDocument/2006/relationships/hyperlink" Target="https://doi.org/10.48550/arXiv.1705.07874" TargetMode="External"/><Relationship Id="rId26" Type="http://schemas.openxmlformats.org/officeDocument/2006/relationships/hyperlink" Target="https://doi.org/10.1016/j.atmosres.2019.05.0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11/0033-0124.10042" TargetMode="External"/><Relationship Id="rId7" Type="http://schemas.openxmlformats.org/officeDocument/2006/relationships/hyperlink" Target="https://doi.org/10.1093/ije/dyt092" TargetMode="External"/><Relationship Id="rId12" Type="http://schemas.openxmlformats.org/officeDocument/2006/relationships/hyperlink" Target="https://doi.org/10.1097/EDE.0000000000001390" TargetMode="External"/><Relationship Id="rId17" Type="http://schemas.openxmlformats.org/officeDocument/2006/relationships/hyperlink" Target="https://doi.org/10.1080/15459620802310770" TargetMode="External"/><Relationship Id="rId25" Type="http://schemas.openxmlformats.org/officeDocument/2006/relationships/hyperlink" Target="https://doi.org/10.1111/j.2517-6161.1996.tb02080.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23/A:1005491526870" TargetMode="External"/><Relationship Id="rId20" Type="http://schemas.openxmlformats.org/officeDocument/2006/relationships/hyperlink" Target="https://doi.org/10.1111/j.1467-9868.2010.00740.x" TargetMode="External"/><Relationship Id="rId29" Type="http://schemas.openxmlformats.org/officeDocument/2006/relationships/hyperlink" Target="https://doi.org/10.25607/OBP-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sda.2012.10.020" TargetMode="External"/><Relationship Id="rId11" Type="http://schemas.openxmlformats.org/officeDocument/2006/relationships/hyperlink" Target="https://doi.org/10.1002/sim.3940" TargetMode="External"/><Relationship Id="rId24" Type="http://schemas.openxmlformats.org/officeDocument/2006/relationships/hyperlink" Target="https://doi.org/10.1002/qj.3311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i.org/10.1111/rssb.12377" TargetMode="External"/><Relationship Id="rId15" Type="http://schemas.openxmlformats.org/officeDocument/2006/relationships/hyperlink" Target="https://doi.org/10.1097/01.ede.0000181315.18836.9d" TargetMode="External"/><Relationship Id="rId23" Type="http://schemas.openxmlformats.org/officeDocument/2006/relationships/hyperlink" Target="https://doi.org/10.1111/j.1467-985X.2006.00410.x" TargetMode="External"/><Relationship Id="rId28" Type="http://schemas.openxmlformats.org/officeDocument/2006/relationships/hyperlink" Target="https://doi.org/10.1007/s10584-019-02483-2" TargetMode="External"/><Relationship Id="rId10" Type="http://schemas.openxmlformats.org/officeDocument/2006/relationships/hyperlink" Target="https://doi.org/10.1068/a231025" TargetMode="External"/><Relationship Id="rId19" Type="http://schemas.openxmlformats.org/officeDocument/2006/relationships/hyperlink" Target="https://doi.org/10.1093/oxfordjournals.aje.a115853" TargetMode="External"/><Relationship Id="rId31" Type="http://schemas.openxmlformats.org/officeDocument/2006/relationships/hyperlink" Target="https://doi.org/10.1111/j.1467-9868.2005.00503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.1600-0587.2012.07348.x" TargetMode="External"/><Relationship Id="rId14" Type="http://schemas.openxmlformats.org/officeDocument/2006/relationships/hyperlink" Target="https://doi.org/10.1093/biostatistics/kxn033" TargetMode="External"/><Relationship Id="rId22" Type="http://schemas.openxmlformats.org/officeDocument/2006/relationships/hyperlink" Target="https://doi.org/10.1038/nclimate3114" TargetMode="External"/><Relationship Id="rId27" Type="http://schemas.openxmlformats.org/officeDocument/2006/relationships/hyperlink" Target="https://doi.org/10.4103/1947-2714.187146" TargetMode="External"/><Relationship Id="rId30" Type="http://schemas.openxmlformats.org/officeDocument/2006/relationships/hyperlink" Target="https://doi.org/10.1002/wcc.147" TargetMode="External"/><Relationship Id="rId8" Type="http://schemas.openxmlformats.org/officeDocument/2006/relationships/hyperlink" Target="https://doi.org/10.1201/9781420010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3607</Words>
  <Characters>20562</Characters>
  <Application>Microsoft Office Word</Application>
  <DocSecurity>0</DocSecurity>
  <Lines>171</Lines>
  <Paragraphs>48</Paragraphs>
  <ScaleCrop>false</ScaleCrop>
  <Company/>
  <LinksUpToDate>false</LinksUpToDate>
  <CharactersWithSpaces>24121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Clark</dc:creator>
  <cp:keywords/>
  <dc:description/>
  <cp:lastModifiedBy>Jordan Clark</cp:lastModifiedBy>
  <cp:revision>2</cp:revision>
  <dcterms:created xsi:type="dcterms:W3CDTF">2025-09-21T20:36:00Z</dcterms:created>
  <dcterms:modified xsi:type="dcterms:W3CDTF">2025-09-21T20:36:00Z</dcterms:modified>
</cp:coreProperties>
</file>