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  <w:color w:val="002c46"/>
          <w:sz w:val="38.78"/>
          <w:szCs w:val="38.7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9748d"/>
          <w:sz w:val="40"/>
          <w:szCs w:val="40"/>
          <w:rtl w:val="0"/>
        </w:rPr>
        <w:t xml:space="preserve">Problem Statement Worksheet (Hypothesis Formation)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color w:val="ffffff"/>
          <w:sz w:val="28.56"/>
          <w:szCs w:val="28.5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can NSC reduce the failure rate below 5% by identifying the source of the failure rate increase by next?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ffffff"/>
          <w:sz w:val="28.56"/>
          <w:szCs w:val="28.56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Context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Nordic Sensing Co. introduced a new sensor technology. During the development &amp; testing phase the expected failure rate was 1-2%, however, now it is 15%. They need to drop the failure rate below 5% by shutting down a manufacturer or stop buying parts from a supplier.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Constraints within solution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1.4"/>
          <w:szCs w:val="21.4"/>
        </w:rPr>
      </w:pPr>
      <w:r w:rsidDel="00000000" w:rsidR="00000000" w:rsidRPr="00000000">
        <w:rPr>
          <w:sz w:val="21.4"/>
          <w:szCs w:val="21.4"/>
          <w:rtl w:val="0"/>
        </w:rPr>
        <w:t xml:space="preserve">Limited data given the spreadsheet limit of 20K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ffffff"/>
          <w:sz w:val="28.56"/>
          <w:szCs w:val="28.56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Criteria for success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Reduce the failure rate below 5%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identity which manufacturer and/or supplier needs to be shut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Stakeholders to provide key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James Hansk– CEO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Otto Evans – InSense President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Tony Abraham – InSense VP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Shane Buchholz-Head Engineer 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Gary Neumont-Head of manufacturing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Jessica Jones –QA/QC engineer</w:t>
      </w:r>
      <w:r w:rsidDel="00000000" w:rsidR="00000000" w:rsidRPr="00000000">
        <w:rPr>
          <w:color w:val="ffffff"/>
          <w:sz w:val="28.56"/>
          <w:szCs w:val="28.5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color w:val="ffffff"/>
          <w:sz w:val="28.56"/>
          <w:szCs w:val="28.56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002c46"/>
          <w:sz w:val="28.56"/>
          <w:szCs w:val="28.56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Key data sources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from Singapore – contains the vendor codes for each part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from Cert – contains which drives failed by the “STATUS” column and covers manufacturing dates going back two quarters with dated results for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color w:val="002c46"/>
          <w:sz w:val="28.56"/>
          <w:szCs w:val="28.56"/>
          <w:rtl w:val="0"/>
        </w:rPr>
        <w:t xml:space="preserve">Scope of solution space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the data by supplier and manufacturer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the sensors by connecting the data from the supplier and manufacturer to identify which is failing or if it is a combination of both.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fffff"/>
          <w:sz w:val="24"/>
          <w:szCs w:val="24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rFonts w:ascii="Quattrocento Sans" w:cs="Quattrocento Sans" w:eastAsia="Quattrocento Sans" w:hAnsi="Quattrocento Sans"/>
          <w:b w:val="1"/>
          <w:color w:val="29748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