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82F8" w14:textId="4E8B6D82" w:rsidR="007A0D08" w:rsidRPr="007A0D08" w:rsidRDefault="007A0D08" w:rsidP="007A0D08">
      <w:pPr>
        <w:keepNext/>
        <w:keepLines/>
        <w:spacing w:before="480" w:after="80"/>
        <w:outlineLvl w:val="0"/>
        <w:rPr>
          <w:rFonts w:ascii="標楷體" w:eastAsia="標楷體" w:hAnsi="標楷體" w:cs="新細明體"/>
          <w:b/>
          <w:bCs/>
          <w:kern w:val="36"/>
          <w:sz w:val="40"/>
          <w:szCs w:val="40"/>
          <w14:ligatures w14:val="none"/>
        </w:rPr>
      </w:pPr>
      <w:r w:rsidRPr="007A0D08">
        <w:rPr>
          <w:rFonts w:ascii="標楷體" w:eastAsia="標楷體" w:hAnsi="標楷體" w:cs="新細明體"/>
          <w:b/>
          <w:bCs/>
          <w:kern w:val="36"/>
          <w:sz w:val="40"/>
          <w:szCs w:val="40"/>
          <w14:ligatures w14:val="none"/>
        </w:rPr>
        <w:t>新加坡城市治理優缺點與台灣務實借鑑專題報告</w:t>
      </w:r>
      <w:r>
        <w:rPr>
          <w:rFonts w:ascii="標楷體" w:eastAsia="標楷體" w:hAnsi="標楷體" w:cs="新細明體" w:hint="eastAsia"/>
          <w:b/>
          <w:bCs/>
          <w:kern w:val="36"/>
          <w:sz w:val="40"/>
          <w:szCs w:val="40"/>
          <w14:ligatures w14:val="none"/>
        </w:rPr>
        <w:t>（REV）</w:t>
      </w:r>
    </w:p>
    <w:p w14:paraId="34C132FF" w14:textId="77777777" w:rsidR="007A0D08" w:rsidRPr="007A0D08" w:rsidRDefault="007A0D08" w:rsidP="007A0D08">
      <w:pPr>
        <w:widowControl/>
        <w:spacing w:before="100" w:beforeAutospacing="1" w:after="100" w:afterAutospacing="1" w:line="240" w:lineRule="auto"/>
        <w:outlineLvl w:val="2"/>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1. 引言：為什麼我們要聊新加坡的城市治理？</w:t>
      </w:r>
    </w:p>
    <w:p w14:paraId="72CE1E60"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作為全球城市治理的標竿，新加坡在極度有限的土地資源下，成功將公共住宅、大眾運輸、生態綠地與數位科技融合成一套</w:t>
      </w:r>
      <w:proofErr w:type="gramStart"/>
      <w:r w:rsidRPr="007A0D08">
        <w:rPr>
          <w:rFonts w:ascii="標楷體" w:eastAsia="標楷體" w:hAnsi="標楷體" w:cs="新細明體"/>
          <w:kern w:val="0"/>
          <w:sz w:val="28"/>
          <w:szCs w:val="28"/>
          <w14:ligatures w14:val="none"/>
        </w:rPr>
        <w:t>高效且持續</w:t>
      </w:r>
      <w:proofErr w:type="gramEnd"/>
      <w:r w:rsidRPr="007A0D08">
        <w:rPr>
          <w:rFonts w:ascii="標楷體" w:eastAsia="標楷體" w:hAnsi="標楷體" w:cs="新細明體"/>
          <w:kern w:val="0"/>
          <w:sz w:val="28"/>
          <w:szCs w:val="28"/>
          <w14:ligatures w14:val="none"/>
        </w:rPr>
        <w:t>運作的城市系統。然而，這座「自然中的城市」與「智慧國家」的背後，同時伴隨著高昂的運具持有成本、嚴格的行政管束與不可複製的國有土地產權制度。</w:t>
      </w:r>
    </w:p>
    <w:p w14:paraId="68703C7D" w14:textId="64F70850"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城市的外觀可以模仿，但持續運作的制度更值得理解。 本報告深入剖析新加坡城市治理的成功秘訣與內在代價，並在台灣中央與地方分權、保障私有財產的民主體制下，思考如何「務實借</w:t>
      </w:r>
      <w:proofErr w:type="gramStart"/>
      <w:r w:rsidRPr="007A0D08">
        <w:rPr>
          <w:rFonts w:ascii="標楷體" w:eastAsia="標楷體" w:hAnsi="標楷體" w:cs="新細明體"/>
          <w:kern w:val="0"/>
          <w:sz w:val="28"/>
          <w:szCs w:val="28"/>
          <w14:ligatures w14:val="none"/>
        </w:rPr>
        <w:t>鑑</w:t>
      </w:r>
      <w:proofErr w:type="gramEnd"/>
      <w:r w:rsidRPr="007A0D08">
        <w:rPr>
          <w:rFonts w:ascii="標楷體" w:eastAsia="標楷體" w:hAnsi="標楷體" w:cs="新細明體"/>
          <w:kern w:val="0"/>
          <w:sz w:val="28"/>
          <w:szCs w:val="28"/>
          <w14:ligatures w14:val="none"/>
        </w:rPr>
        <w:t>」，將其跨部門整合與長期持續執行的制度能力，轉化為適合台灣的治理解答。</w:t>
      </w:r>
    </w:p>
    <w:p w14:paraId="34CD6BBD"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本報告將聚焦於以下三大核心主軸：</w:t>
      </w:r>
    </w:p>
    <w:p w14:paraId="47AB13D1" w14:textId="77777777" w:rsidR="007A0D08" w:rsidRPr="007A0D08" w:rsidRDefault="007A0D08" w:rsidP="007A0D08">
      <w:pPr>
        <w:widowControl/>
        <w:numPr>
          <w:ilvl w:val="0"/>
          <w:numId w:val="1"/>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第一核心：新加坡城市治理的「神話」與「代價」（優點與局限剖析）</w:t>
      </w:r>
      <w:r w:rsidRPr="007A0D08">
        <w:rPr>
          <w:rFonts w:ascii="標楷體" w:eastAsia="標楷體" w:hAnsi="標楷體" w:cs="新細明體"/>
          <w:kern w:val="0"/>
          <w:sz w:val="28"/>
          <w:szCs w:val="28"/>
          <w14:ligatures w14:val="none"/>
        </w:rPr>
        <w:t xml:space="preserve">：深度拆解雙層規劃體系、人本交通鏈結、智慧國家 </w:t>
      </w:r>
      <w:r w:rsidRPr="007A0D08">
        <w:rPr>
          <w:rFonts w:ascii="標楷體" w:eastAsia="標楷體" w:hAnsi="標楷體" w:cs="新細明體"/>
          <w:kern w:val="0"/>
          <w:sz w:val="28"/>
          <w:szCs w:val="28"/>
          <w14:ligatures w14:val="none"/>
        </w:rPr>
        <w:lastRenderedPageBreak/>
        <w:t>2.0 等制度優勢，並客觀檢視擁車成本與土地國有化等複製門檻。</w:t>
      </w:r>
    </w:p>
    <w:p w14:paraId="092410D2" w14:textId="77777777" w:rsidR="007A0D08" w:rsidRPr="007A0D08" w:rsidRDefault="007A0D08" w:rsidP="007A0D08">
      <w:pPr>
        <w:widowControl/>
        <w:numPr>
          <w:ilvl w:val="0"/>
          <w:numId w:val="1"/>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第二核心：新加坡經驗能照單</w:t>
      </w:r>
      <w:proofErr w:type="gramStart"/>
      <w:r w:rsidRPr="007A0D08">
        <w:rPr>
          <w:rFonts w:ascii="標楷體" w:eastAsia="標楷體" w:hAnsi="標楷體" w:cs="新細明體"/>
          <w:b/>
          <w:bCs/>
          <w:kern w:val="0"/>
          <w:sz w:val="28"/>
          <w:szCs w:val="28"/>
          <w14:ligatures w14:val="none"/>
        </w:rPr>
        <w:t>全收嗎</w:t>
      </w:r>
      <w:proofErr w:type="gramEnd"/>
      <w:r w:rsidRPr="007A0D08">
        <w:rPr>
          <w:rFonts w:ascii="標楷體" w:eastAsia="標楷體" w:hAnsi="標楷體" w:cs="新細明體"/>
          <w:b/>
          <w:bCs/>
          <w:kern w:val="0"/>
          <w:sz w:val="28"/>
          <w:szCs w:val="28"/>
          <w14:ligatures w14:val="none"/>
        </w:rPr>
        <w:t>？</w:t>
      </w:r>
      <w:proofErr w:type="gramStart"/>
      <w:r w:rsidRPr="007A0D08">
        <w:rPr>
          <w:rFonts w:ascii="標楷體" w:eastAsia="標楷體" w:hAnsi="標楷體" w:cs="新細明體"/>
          <w:b/>
          <w:bCs/>
          <w:kern w:val="0"/>
          <w:sz w:val="28"/>
          <w:szCs w:val="28"/>
          <w14:ligatures w14:val="none"/>
        </w:rPr>
        <w:t>——</w:t>
      </w:r>
      <w:proofErr w:type="gramEnd"/>
      <w:r w:rsidRPr="007A0D08">
        <w:rPr>
          <w:rFonts w:ascii="標楷體" w:eastAsia="標楷體" w:hAnsi="標楷體" w:cs="新細明體"/>
          <w:b/>
          <w:bCs/>
          <w:kern w:val="0"/>
          <w:sz w:val="28"/>
          <w:szCs w:val="28"/>
          <w14:ligatures w14:val="none"/>
        </w:rPr>
        <w:t>台新「體制差異」大盤點</w:t>
      </w:r>
      <w:r w:rsidRPr="007A0D08">
        <w:rPr>
          <w:rFonts w:ascii="標楷體" w:eastAsia="標楷體" w:hAnsi="標楷體" w:cs="新細明體"/>
          <w:kern w:val="0"/>
          <w:sz w:val="28"/>
          <w:szCs w:val="28"/>
          <w14:ligatures w14:val="none"/>
        </w:rPr>
        <w:t>：從政治決策結構、中央與地方關係及土地產權維度，精</w:t>
      </w:r>
      <w:proofErr w:type="gramStart"/>
      <w:r w:rsidRPr="007A0D08">
        <w:rPr>
          <w:rFonts w:ascii="標楷體" w:eastAsia="標楷體" w:hAnsi="標楷體" w:cs="新細明體"/>
          <w:kern w:val="0"/>
          <w:sz w:val="28"/>
          <w:szCs w:val="28"/>
          <w14:ligatures w14:val="none"/>
        </w:rPr>
        <w:t>準</w:t>
      </w:r>
      <w:proofErr w:type="gramEnd"/>
      <w:r w:rsidRPr="007A0D08">
        <w:rPr>
          <w:rFonts w:ascii="標楷體" w:eastAsia="標楷體" w:hAnsi="標楷體" w:cs="新細明體"/>
          <w:kern w:val="0"/>
          <w:sz w:val="28"/>
          <w:szCs w:val="28"/>
          <w14:ligatures w14:val="none"/>
        </w:rPr>
        <w:t>對比兩國體制差異。</w:t>
      </w:r>
    </w:p>
    <w:p w14:paraId="47A5FE3D" w14:textId="77777777" w:rsidR="007A0D08" w:rsidRPr="007A0D08" w:rsidRDefault="007A0D08" w:rsidP="007A0D08">
      <w:pPr>
        <w:widowControl/>
        <w:numPr>
          <w:ilvl w:val="0"/>
          <w:numId w:val="1"/>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第三核心：不</w:t>
      </w:r>
      <w:proofErr w:type="gramStart"/>
      <w:r w:rsidRPr="007A0D08">
        <w:rPr>
          <w:rFonts w:ascii="標楷體" w:eastAsia="標楷體" w:hAnsi="標楷體" w:cs="新細明體"/>
          <w:b/>
          <w:bCs/>
          <w:kern w:val="0"/>
          <w:sz w:val="28"/>
          <w:szCs w:val="28"/>
          <w14:ligatures w14:val="none"/>
        </w:rPr>
        <w:t>搬套抄</w:t>
      </w:r>
      <w:proofErr w:type="gramEnd"/>
      <w:r w:rsidRPr="007A0D08">
        <w:rPr>
          <w:rFonts w:ascii="標楷體" w:eastAsia="標楷體" w:hAnsi="標楷體" w:cs="新細明體"/>
          <w:b/>
          <w:bCs/>
          <w:kern w:val="0"/>
          <w:sz w:val="28"/>
          <w:szCs w:val="28"/>
          <w14:ligatures w14:val="none"/>
        </w:rPr>
        <w:t>！台灣如何「務實借</w:t>
      </w:r>
      <w:proofErr w:type="gramStart"/>
      <w:r w:rsidRPr="007A0D08">
        <w:rPr>
          <w:rFonts w:ascii="標楷體" w:eastAsia="標楷體" w:hAnsi="標楷體" w:cs="新細明體"/>
          <w:b/>
          <w:bCs/>
          <w:kern w:val="0"/>
          <w:sz w:val="28"/>
          <w:szCs w:val="28"/>
          <w14:ligatures w14:val="none"/>
        </w:rPr>
        <w:t>鑑</w:t>
      </w:r>
      <w:proofErr w:type="gramEnd"/>
      <w:r w:rsidRPr="007A0D08">
        <w:rPr>
          <w:rFonts w:ascii="標楷體" w:eastAsia="標楷體" w:hAnsi="標楷體" w:cs="新細明體"/>
          <w:b/>
          <w:bCs/>
          <w:kern w:val="0"/>
          <w:sz w:val="28"/>
          <w:szCs w:val="28"/>
          <w14:ligatures w14:val="none"/>
        </w:rPr>
        <w:t>」新加坡？</w:t>
      </w:r>
      <w:r w:rsidRPr="007A0D08">
        <w:rPr>
          <w:rFonts w:ascii="標楷體" w:eastAsia="標楷體" w:hAnsi="標楷體" w:cs="新細明體"/>
          <w:kern w:val="0"/>
          <w:sz w:val="28"/>
          <w:szCs w:val="28"/>
          <w14:ligatures w14:val="none"/>
        </w:rPr>
        <w:t>：提出地方縣市修改分區管制、</w:t>
      </w:r>
      <w:proofErr w:type="gramStart"/>
      <w:r w:rsidRPr="007A0D08">
        <w:rPr>
          <w:rFonts w:ascii="標楷體" w:eastAsia="標楷體" w:hAnsi="標楷體" w:cs="新細明體"/>
          <w:kern w:val="0"/>
          <w:sz w:val="28"/>
          <w:szCs w:val="28"/>
          <w14:ligatures w14:val="none"/>
        </w:rPr>
        <w:t>建立跨域交通</w:t>
      </w:r>
      <w:proofErr w:type="gramEnd"/>
      <w:r w:rsidRPr="007A0D08">
        <w:rPr>
          <w:rFonts w:ascii="標楷體" w:eastAsia="標楷體" w:hAnsi="標楷體" w:cs="新細明體"/>
          <w:kern w:val="0"/>
          <w:sz w:val="28"/>
          <w:szCs w:val="28"/>
          <w14:ligatures w14:val="none"/>
        </w:rPr>
        <w:t>平台、捷運 TOD 結合包容</w:t>
      </w:r>
      <w:proofErr w:type="gramStart"/>
      <w:r w:rsidRPr="007A0D08">
        <w:rPr>
          <w:rFonts w:ascii="標楷體" w:eastAsia="標楷體" w:hAnsi="標楷體" w:cs="新細明體"/>
          <w:kern w:val="0"/>
          <w:sz w:val="28"/>
          <w:szCs w:val="28"/>
          <w14:ligatures w14:val="none"/>
        </w:rPr>
        <w:t>性社宅</w:t>
      </w:r>
      <w:proofErr w:type="gramEnd"/>
      <w:r w:rsidRPr="007A0D08">
        <w:rPr>
          <w:rFonts w:ascii="標楷體" w:eastAsia="標楷體" w:hAnsi="標楷體" w:cs="新細明體"/>
          <w:kern w:val="0"/>
          <w:sz w:val="28"/>
          <w:szCs w:val="28"/>
          <w14:ligatures w14:val="none"/>
        </w:rPr>
        <w:t>，以及中央金融與</w:t>
      </w:r>
      <w:proofErr w:type="gramStart"/>
      <w:r w:rsidRPr="007A0D08">
        <w:rPr>
          <w:rFonts w:ascii="標楷體" w:eastAsia="標楷體" w:hAnsi="標楷體" w:cs="新細明體"/>
          <w:kern w:val="0"/>
          <w:sz w:val="28"/>
          <w:szCs w:val="28"/>
          <w14:ligatures w14:val="none"/>
        </w:rPr>
        <w:t>租稅端防堵</w:t>
      </w:r>
      <w:proofErr w:type="gramEnd"/>
      <w:r w:rsidRPr="007A0D08">
        <w:rPr>
          <w:rFonts w:ascii="標楷體" w:eastAsia="標楷體" w:hAnsi="標楷體" w:cs="新細明體"/>
          <w:kern w:val="0"/>
          <w:sz w:val="28"/>
          <w:szCs w:val="28"/>
          <w14:ligatures w14:val="none"/>
        </w:rPr>
        <w:t>建商</w:t>
      </w:r>
      <w:proofErr w:type="gramStart"/>
      <w:r w:rsidRPr="007A0D08">
        <w:rPr>
          <w:rFonts w:ascii="標楷體" w:eastAsia="標楷體" w:hAnsi="標楷體" w:cs="新細明體"/>
          <w:kern w:val="0"/>
          <w:sz w:val="28"/>
          <w:szCs w:val="28"/>
          <w14:ligatures w14:val="none"/>
        </w:rPr>
        <w:t>養地囤地的</w:t>
      </w:r>
      <w:proofErr w:type="gramEnd"/>
      <w:r w:rsidRPr="007A0D08">
        <w:rPr>
          <w:rFonts w:ascii="標楷體" w:eastAsia="標楷體" w:hAnsi="標楷體" w:cs="新細明體"/>
          <w:kern w:val="0"/>
          <w:sz w:val="28"/>
          <w:szCs w:val="28"/>
          <w14:ligatures w14:val="none"/>
        </w:rPr>
        <w:t>具體改革方案。</w:t>
      </w:r>
    </w:p>
    <w:p w14:paraId="46173B9B" w14:textId="77777777" w:rsidR="007A0D08" w:rsidRPr="007A0D08" w:rsidRDefault="007A0D08" w:rsidP="007A0D08">
      <w:pPr>
        <w:widowControl/>
        <w:spacing w:before="100" w:beforeAutospacing="1" w:after="100" w:afterAutospacing="1" w:line="240" w:lineRule="auto"/>
        <w:outlineLvl w:val="2"/>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2. 第一核心：新加坡城市治理的「神話」與「代價」（優點與局限剖析）</w:t>
      </w:r>
    </w:p>
    <w:p w14:paraId="04569429"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2.1 優點：超前部署的雙層規劃與人本都市縫合</w:t>
      </w:r>
    </w:p>
    <w:p w14:paraId="087E9D20"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新加坡能實現高密度發展與生態環境的平衡，歸功於市區重建局（URA）運作的超前部署雙層規劃體系：</w:t>
      </w:r>
    </w:p>
    <w:p w14:paraId="7C5E78E3" w14:textId="77777777" w:rsidR="007A0D08" w:rsidRPr="007A0D08" w:rsidRDefault="007A0D08" w:rsidP="007A0D08">
      <w:pPr>
        <w:widowControl/>
        <w:numPr>
          <w:ilvl w:val="0"/>
          <w:numId w:val="2"/>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概念總藍圖（Concept Plan）</w:t>
      </w:r>
      <w:r w:rsidRPr="007A0D08">
        <w:rPr>
          <w:rFonts w:ascii="標楷體" w:eastAsia="標楷體" w:hAnsi="標楷體" w:cs="新細明體"/>
          <w:kern w:val="0"/>
          <w:sz w:val="28"/>
          <w:szCs w:val="28"/>
          <w14:ligatures w14:val="none"/>
        </w:rPr>
        <w:t>：作為導引未來 40</w:t>
      </w:r>
      <w:proofErr w:type="gramStart"/>
      <w:r w:rsidRPr="007A0D08">
        <w:rPr>
          <w:rFonts w:ascii="標楷體" w:eastAsia="標楷體" w:hAnsi="標楷體" w:cs="新細明體"/>
          <w:kern w:val="0"/>
          <w:sz w:val="28"/>
          <w:szCs w:val="28"/>
          <w14:ligatures w14:val="none"/>
        </w:rPr>
        <w:t>–</w:t>
      </w:r>
      <w:proofErr w:type="gramEnd"/>
      <w:r w:rsidRPr="007A0D08">
        <w:rPr>
          <w:rFonts w:ascii="標楷體" w:eastAsia="標楷體" w:hAnsi="標楷體" w:cs="新細明體"/>
          <w:kern w:val="0"/>
          <w:sz w:val="28"/>
          <w:szCs w:val="28"/>
          <w14:ligatures w14:val="none"/>
        </w:rPr>
        <w:t>50 年發展的策略性土地利用與交通規劃，每 10 年至少檢討修正一次，宏觀劃定住宅、產業、交通、國防與綠地等土地分配。</w:t>
      </w:r>
    </w:p>
    <w:p w14:paraId="4F50995F" w14:textId="77777777" w:rsidR="007A0D08" w:rsidRPr="007A0D08" w:rsidRDefault="007A0D08" w:rsidP="007A0D08">
      <w:pPr>
        <w:widowControl/>
        <w:numPr>
          <w:ilvl w:val="0"/>
          <w:numId w:val="2"/>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lastRenderedPageBreak/>
        <w:t>發展總藍圖（Master Plan）</w:t>
      </w:r>
      <w:r w:rsidRPr="007A0D08">
        <w:rPr>
          <w:rFonts w:ascii="標楷體" w:eastAsia="標楷體" w:hAnsi="標楷體" w:cs="新細明體"/>
          <w:kern w:val="0"/>
          <w:sz w:val="28"/>
          <w:szCs w:val="28"/>
          <w14:ligatures w14:val="none"/>
        </w:rPr>
        <w:t>：將概念總藍圖的策略落實為具體的區域實施規劃圖，精</w:t>
      </w:r>
      <w:proofErr w:type="gramStart"/>
      <w:r w:rsidRPr="007A0D08">
        <w:rPr>
          <w:rFonts w:ascii="標楷體" w:eastAsia="標楷體" w:hAnsi="標楷體" w:cs="新細明體"/>
          <w:kern w:val="0"/>
          <w:sz w:val="28"/>
          <w:szCs w:val="28"/>
          <w14:ligatures w14:val="none"/>
        </w:rPr>
        <w:t>準</w:t>
      </w:r>
      <w:proofErr w:type="gramEnd"/>
      <w:r w:rsidRPr="007A0D08">
        <w:rPr>
          <w:rFonts w:ascii="標楷體" w:eastAsia="標楷體" w:hAnsi="標楷體" w:cs="新細明體"/>
          <w:kern w:val="0"/>
          <w:sz w:val="28"/>
          <w:szCs w:val="28"/>
          <w14:ligatures w14:val="none"/>
        </w:rPr>
        <w:t>控制土地開發細節與容積率。</w:t>
      </w:r>
    </w:p>
    <w:p w14:paraId="6218A38E"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在實體空間的縫合上，新加坡將公共住宅（HDB，組屋）與大眾運輸（MRT、LRT 及 Bus）進行深度無縫銜接。其核心機制在於實踐**「人本過濾過路性（Filtered Permeability）」**的都市設計思維：透過道路層級的</w:t>
      </w:r>
      <w:proofErr w:type="gramStart"/>
      <w:r w:rsidRPr="007A0D08">
        <w:rPr>
          <w:rFonts w:ascii="標楷體" w:eastAsia="標楷體" w:hAnsi="標楷體" w:cs="新細明體"/>
          <w:kern w:val="0"/>
          <w:sz w:val="28"/>
          <w:szCs w:val="28"/>
          <w14:ligatures w14:val="none"/>
        </w:rPr>
        <w:t>物理切隔</w:t>
      </w:r>
      <w:proofErr w:type="gramEnd"/>
      <w:r w:rsidRPr="007A0D08">
        <w:rPr>
          <w:rFonts w:ascii="標楷體" w:eastAsia="標楷體" w:hAnsi="標楷體" w:cs="新細明體"/>
          <w:kern w:val="0"/>
          <w:sz w:val="28"/>
          <w:szCs w:val="28"/>
          <w14:ligatures w14:val="none"/>
        </w:rPr>
        <w:t>，將過境汽車流量嚴格限制於社區外圍幹道；社區內部則利用連續的「帶簷人行道（風雨走廊）」，將居民樓與捷運站、公車站連結，並延伸至社區內的熟食中心（Hawker Centre）、診所、超市與咖啡廳，打造出 5</w:t>
      </w:r>
      <w:proofErr w:type="gramStart"/>
      <w:r w:rsidRPr="007A0D08">
        <w:rPr>
          <w:rFonts w:ascii="標楷體" w:eastAsia="標楷體" w:hAnsi="標楷體" w:cs="新細明體"/>
          <w:kern w:val="0"/>
          <w:sz w:val="28"/>
          <w:szCs w:val="28"/>
          <w14:ligatures w14:val="none"/>
        </w:rPr>
        <w:t>–</w:t>
      </w:r>
      <w:proofErr w:type="gramEnd"/>
      <w:r w:rsidRPr="007A0D08">
        <w:rPr>
          <w:rFonts w:ascii="標楷體" w:eastAsia="標楷體" w:hAnsi="標楷體" w:cs="新細明體"/>
          <w:kern w:val="0"/>
          <w:sz w:val="28"/>
          <w:szCs w:val="28"/>
          <w14:ligatures w14:val="none"/>
        </w:rPr>
        <w:t>10 分鐘的步行社區生活圈。此設計徹底隔絕了炎熱、暴雨與車流噪音，使行人能在安全且無障礙的環境中直覺步行。</w:t>
      </w:r>
    </w:p>
    <w:p w14:paraId="66477AD1"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在綠化政策上，新加坡已從 1967 年的「花園城市」升級為 2021 年發布《綠色計劃 2030》下的「自然中的城市（City in Nature）」。計畫明確設定目標：於 2030 年前推動「百萬樹木運動」（增植 100 萬棵樹）、新增 1,000 公頃綠地，並建置長達 387 公里的綠色走廊與 210 公里的「自然之路（Nature Ways / Park Connectors）」，配合高層建築的垂直綠化（如皮克林賓樂雅酒店），將自然生態立體化縫合至都市縫隙。</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7"/>
        <w:gridCol w:w="5483"/>
      </w:tblGrid>
      <w:tr w:rsidR="007A0D08" w:rsidRPr="007A0D08" w14:paraId="7A51EACC"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5F3F83E8"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lastRenderedPageBreak/>
              <w:t>規劃機制</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44F46"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民眾日常生活體驗</w:t>
            </w:r>
          </w:p>
        </w:tc>
      </w:tr>
      <w:tr w:rsidR="007A0D08" w:rsidRPr="007A0D08" w14:paraId="1B7E8188"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33A9810E"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雙層長期規劃（Concept &amp; Master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8D420"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在每平方公里超過 7,800 人的高密度環境下，仍享有充裕的產業、商業與休憩空間，都市運作井然有序。</w:t>
            </w:r>
          </w:p>
        </w:tc>
      </w:tr>
      <w:tr w:rsidR="007A0D08" w:rsidRPr="007A0D08" w14:paraId="373D86DA"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5F3BF0D5"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TOD、風雨走廊與「過濾過路性」設計</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2FE96"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出門 5</w:t>
            </w:r>
            <w:proofErr w:type="gramStart"/>
            <w:r w:rsidRPr="007A0D08">
              <w:rPr>
                <w:rFonts w:ascii="標楷體" w:eastAsia="標楷體" w:hAnsi="標楷體" w:cs="新細明體"/>
                <w:kern w:val="0"/>
                <w:sz w:val="28"/>
                <w:szCs w:val="28"/>
                <w14:ligatures w14:val="none"/>
              </w:rPr>
              <w:t>–</w:t>
            </w:r>
            <w:proofErr w:type="gramEnd"/>
            <w:r w:rsidRPr="007A0D08">
              <w:rPr>
                <w:rFonts w:ascii="標楷體" w:eastAsia="標楷體" w:hAnsi="標楷體" w:cs="新細明體"/>
                <w:kern w:val="0"/>
                <w:sz w:val="28"/>
                <w:szCs w:val="28"/>
                <w14:ligatures w14:val="none"/>
              </w:rPr>
              <w:t>10 分鐘內即達捷運站與熟食中心，全程遮陽避雨且人車分流，免受酷熱、暴雨及車流威脅。</w:t>
            </w:r>
          </w:p>
        </w:tc>
      </w:tr>
      <w:tr w:rsidR="007A0D08" w:rsidRPr="007A0D08" w14:paraId="6181328A"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4E6B222D"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「自然中的城市」與垂直綠化布局</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AEF09"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出門 10 分鐘內即可抵達公園，綠蔭與自然之路降低</w:t>
            </w:r>
            <w:proofErr w:type="gramStart"/>
            <w:r w:rsidRPr="007A0D08">
              <w:rPr>
                <w:rFonts w:ascii="標楷體" w:eastAsia="標楷體" w:hAnsi="標楷體" w:cs="新細明體"/>
                <w:kern w:val="0"/>
                <w:sz w:val="28"/>
                <w:szCs w:val="28"/>
                <w14:ligatures w14:val="none"/>
              </w:rPr>
              <w:t>都市體感溫度</w:t>
            </w:r>
            <w:proofErr w:type="gramEnd"/>
            <w:r w:rsidRPr="007A0D08">
              <w:rPr>
                <w:rFonts w:ascii="標楷體" w:eastAsia="標楷體" w:hAnsi="標楷體" w:cs="新細明體"/>
                <w:kern w:val="0"/>
                <w:sz w:val="28"/>
                <w:szCs w:val="28"/>
                <w14:ligatures w14:val="none"/>
              </w:rPr>
              <w:t>與噪音，日常生活與生態無縫連結。</w:t>
            </w:r>
          </w:p>
        </w:tc>
      </w:tr>
    </w:tbl>
    <w:p w14:paraId="347CC528"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2.2 優點：數位與科技武裝</w:t>
      </w:r>
      <w:proofErr w:type="gramStart"/>
      <w:r w:rsidRPr="007A0D08">
        <w:rPr>
          <w:rFonts w:ascii="標楷體" w:eastAsia="標楷體" w:hAnsi="標楷體" w:cs="新細明體"/>
          <w:b/>
          <w:bCs/>
          <w:kern w:val="0"/>
          <w:sz w:val="28"/>
          <w:szCs w:val="28"/>
          <w14:ligatures w14:val="none"/>
        </w:rPr>
        <w:t>——</w:t>
      </w:r>
      <w:proofErr w:type="gramEnd"/>
      <w:r w:rsidRPr="007A0D08">
        <w:rPr>
          <w:rFonts w:ascii="標楷體" w:eastAsia="標楷體" w:hAnsi="標楷體" w:cs="新細明體"/>
          <w:b/>
          <w:bCs/>
          <w:kern w:val="0"/>
          <w:sz w:val="28"/>
          <w:szCs w:val="28"/>
          <w14:ligatures w14:val="none"/>
        </w:rPr>
        <w:t>「智慧國家 2.0」的</w:t>
      </w:r>
      <w:proofErr w:type="gramStart"/>
      <w:r w:rsidRPr="007A0D08">
        <w:rPr>
          <w:rFonts w:ascii="標楷體" w:eastAsia="標楷體" w:hAnsi="標楷體" w:cs="新細明體"/>
          <w:b/>
          <w:bCs/>
          <w:kern w:val="0"/>
          <w:sz w:val="28"/>
          <w:szCs w:val="28"/>
          <w14:ligatures w14:val="none"/>
        </w:rPr>
        <w:t>前瞻布局</w:t>
      </w:r>
      <w:proofErr w:type="gramEnd"/>
    </w:p>
    <w:p w14:paraId="31A44E06"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繼 2014 年「智慧國家 1.0」達成 99% 政府</w:t>
      </w:r>
      <w:proofErr w:type="gramStart"/>
      <w:r w:rsidRPr="007A0D08">
        <w:rPr>
          <w:rFonts w:ascii="標楷體" w:eastAsia="標楷體" w:hAnsi="標楷體" w:cs="新細明體"/>
          <w:kern w:val="0"/>
          <w:sz w:val="28"/>
          <w:szCs w:val="28"/>
          <w14:ligatures w14:val="none"/>
        </w:rPr>
        <w:t>服務線上化</w:t>
      </w:r>
      <w:proofErr w:type="gramEnd"/>
      <w:r w:rsidRPr="007A0D08">
        <w:rPr>
          <w:rFonts w:ascii="標楷體" w:eastAsia="標楷體" w:hAnsi="標楷體" w:cs="新細明體"/>
          <w:kern w:val="0"/>
          <w:sz w:val="28"/>
          <w:szCs w:val="28"/>
          <w14:ligatures w14:val="none"/>
        </w:rPr>
        <w:t>後，新加坡數位發展與新聞部（MDDI）於 2024 年 10 月發布「智慧國家 2.0（Smart Nation 2.0）」計畫，以「信任、成長、社群」為三大核心目標：</w:t>
      </w:r>
    </w:p>
    <w:p w14:paraId="07520264" w14:textId="77777777" w:rsidR="007A0D08" w:rsidRPr="007A0D08" w:rsidRDefault="007A0D08" w:rsidP="007A0D08">
      <w:pPr>
        <w:widowControl/>
        <w:numPr>
          <w:ilvl w:val="0"/>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信任（Trust）：建</w:t>
      </w:r>
      <w:proofErr w:type="gramStart"/>
      <w:r w:rsidRPr="007A0D08">
        <w:rPr>
          <w:rFonts w:ascii="標楷體" w:eastAsia="標楷體" w:hAnsi="標楷體" w:cs="新細明體"/>
          <w:b/>
          <w:bCs/>
          <w:kern w:val="0"/>
          <w:sz w:val="28"/>
          <w:szCs w:val="28"/>
          <w14:ligatures w14:val="none"/>
        </w:rPr>
        <w:t>構資安</w:t>
      </w:r>
      <w:proofErr w:type="gramEnd"/>
      <w:r w:rsidRPr="007A0D08">
        <w:rPr>
          <w:rFonts w:ascii="標楷體" w:eastAsia="標楷體" w:hAnsi="標楷體" w:cs="新細明體"/>
          <w:b/>
          <w:bCs/>
          <w:kern w:val="0"/>
          <w:sz w:val="28"/>
          <w:szCs w:val="28"/>
          <w14:ligatures w14:val="none"/>
        </w:rPr>
        <w:t>與數位安全防護網</w:t>
      </w:r>
    </w:p>
    <w:p w14:paraId="7032715E" w14:textId="77777777" w:rsidR="007A0D08" w:rsidRPr="007A0D08" w:rsidRDefault="007A0D08" w:rsidP="007A0D08">
      <w:pPr>
        <w:widowControl/>
        <w:numPr>
          <w:ilvl w:val="1"/>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法制保障</w:t>
      </w:r>
      <w:r w:rsidRPr="007A0D08">
        <w:rPr>
          <w:rFonts w:ascii="標楷體" w:eastAsia="標楷體" w:hAnsi="標楷體" w:cs="新細明體"/>
          <w:kern w:val="0"/>
          <w:sz w:val="28"/>
          <w:szCs w:val="28"/>
          <w14:ligatures w14:val="none"/>
        </w:rPr>
        <w:t>：預計 2025 年推出《數位基礎設施法案（Digital Infrastructure Act）》，提升關鍵雲端與</w:t>
      </w:r>
      <w:r w:rsidRPr="007A0D08">
        <w:rPr>
          <w:rFonts w:ascii="標楷體" w:eastAsia="標楷體" w:hAnsi="標楷體" w:cs="新細明體"/>
          <w:kern w:val="0"/>
          <w:sz w:val="28"/>
          <w:szCs w:val="28"/>
          <w14:ligatures w14:val="none"/>
        </w:rPr>
        <w:lastRenderedPageBreak/>
        <w:t>資料中心</w:t>
      </w:r>
      <w:proofErr w:type="gramStart"/>
      <w:r w:rsidRPr="007A0D08">
        <w:rPr>
          <w:rFonts w:ascii="標楷體" w:eastAsia="標楷體" w:hAnsi="標楷體" w:cs="新細明體"/>
          <w:kern w:val="0"/>
          <w:sz w:val="28"/>
          <w:szCs w:val="28"/>
          <w14:ligatures w14:val="none"/>
        </w:rPr>
        <w:t>之資安與</w:t>
      </w:r>
      <w:proofErr w:type="gramEnd"/>
      <w:r w:rsidRPr="007A0D08">
        <w:rPr>
          <w:rFonts w:ascii="標楷體" w:eastAsia="標楷體" w:hAnsi="標楷體" w:cs="新細明體"/>
          <w:kern w:val="0"/>
          <w:sz w:val="28"/>
          <w:szCs w:val="28"/>
          <w14:ligatures w14:val="none"/>
        </w:rPr>
        <w:t>系統韌性；</w:t>
      </w:r>
      <w:proofErr w:type="gramStart"/>
      <w:r w:rsidRPr="007A0D08">
        <w:rPr>
          <w:rFonts w:ascii="標楷體" w:eastAsia="標楷體" w:hAnsi="標楷體" w:cs="新細明體"/>
          <w:kern w:val="0"/>
          <w:sz w:val="28"/>
          <w:szCs w:val="28"/>
          <w14:ligatures w14:val="none"/>
        </w:rPr>
        <w:t>研</w:t>
      </w:r>
      <w:proofErr w:type="gramEnd"/>
      <w:r w:rsidRPr="007A0D08">
        <w:rPr>
          <w:rFonts w:ascii="標楷體" w:eastAsia="標楷體" w:hAnsi="標楷體" w:cs="新細明體"/>
          <w:kern w:val="0"/>
          <w:sz w:val="28"/>
          <w:szCs w:val="28"/>
          <w14:ligatures w14:val="none"/>
        </w:rPr>
        <w:t>擬新法規賦權成立專責機構，快速處理網路</w:t>
      </w:r>
      <w:proofErr w:type="gramStart"/>
      <w:r w:rsidRPr="007A0D08">
        <w:rPr>
          <w:rFonts w:ascii="標楷體" w:eastAsia="標楷體" w:hAnsi="標楷體" w:cs="新細明體"/>
          <w:kern w:val="0"/>
          <w:sz w:val="28"/>
          <w:szCs w:val="28"/>
          <w14:ligatures w14:val="none"/>
        </w:rPr>
        <w:t>霸凌、</w:t>
      </w:r>
      <w:proofErr w:type="gramEnd"/>
      <w:r w:rsidRPr="007A0D08">
        <w:rPr>
          <w:rFonts w:ascii="標楷體" w:eastAsia="標楷體" w:hAnsi="標楷體" w:cs="新細明體"/>
          <w:kern w:val="0"/>
          <w:sz w:val="28"/>
          <w:szCs w:val="28"/>
          <w14:ligatures w14:val="none"/>
        </w:rPr>
        <w:t>未經同意</w:t>
      </w:r>
      <w:proofErr w:type="gramStart"/>
      <w:r w:rsidRPr="007A0D08">
        <w:rPr>
          <w:rFonts w:ascii="標楷體" w:eastAsia="標楷體" w:hAnsi="標楷體" w:cs="新細明體"/>
          <w:kern w:val="0"/>
          <w:sz w:val="28"/>
          <w:szCs w:val="28"/>
          <w14:ligatures w14:val="none"/>
        </w:rPr>
        <w:t>散布私密</w:t>
      </w:r>
      <w:proofErr w:type="gramEnd"/>
      <w:r w:rsidRPr="007A0D08">
        <w:rPr>
          <w:rFonts w:ascii="標楷體" w:eastAsia="標楷體" w:hAnsi="標楷體" w:cs="新細明體"/>
          <w:kern w:val="0"/>
          <w:sz w:val="28"/>
          <w:szCs w:val="28"/>
          <w14:ligatures w14:val="none"/>
        </w:rPr>
        <w:t xml:space="preserve">影像與性騷擾等數位傷害，並擴大 </w:t>
      </w:r>
      <w:proofErr w:type="spellStart"/>
      <w:r w:rsidRPr="007A0D08">
        <w:rPr>
          <w:rFonts w:ascii="標楷體" w:eastAsia="標楷體" w:hAnsi="標楷體" w:cs="新細明體"/>
          <w:kern w:val="0"/>
          <w:sz w:val="28"/>
          <w:szCs w:val="28"/>
          <w14:ligatures w14:val="none"/>
        </w:rPr>
        <w:t>ScamShield</w:t>
      </w:r>
      <w:proofErr w:type="spellEnd"/>
      <w:r w:rsidRPr="007A0D08">
        <w:rPr>
          <w:rFonts w:ascii="標楷體" w:eastAsia="標楷體" w:hAnsi="標楷體" w:cs="新細明體"/>
          <w:kern w:val="0"/>
          <w:sz w:val="28"/>
          <w:szCs w:val="28"/>
          <w14:ligatures w14:val="none"/>
        </w:rPr>
        <w:t xml:space="preserve"> 與 </w:t>
      </w:r>
      <w:proofErr w:type="spellStart"/>
      <w:r w:rsidRPr="007A0D08">
        <w:rPr>
          <w:rFonts w:ascii="標楷體" w:eastAsia="標楷體" w:hAnsi="標楷體" w:cs="新細明體"/>
          <w:kern w:val="0"/>
          <w:sz w:val="28"/>
          <w:szCs w:val="28"/>
          <w14:ligatures w14:val="none"/>
        </w:rPr>
        <w:t>ScamFlow</w:t>
      </w:r>
      <w:proofErr w:type="spellEnd"/>
      <w:r w:rsidRPr="007A0D08">
        <w:rPr>
          <w:rFonts w:ascii="標楷體" w:eastAsia="標楷體" w:hAnsi="標楷體" w:cs="新細明體"/>
          <w:kern w:val="0"/>
          <w:sz w:val="28"/>
          <w:szCs w:val="28"/>
          <w14:ligatures w14:val="none"/>
        </w:rPr>
        <w:t xml:space="preserve"> 防詐機制。</w:t>
      </w:r>
    </w:p>
    <w:p w14:paraId="5A342872" w14:textId="77777777" w:rsidR="007A0D08" w:rsidRPr="007A0D08" w:rsidRDefault="007A0D08" w:rsidP="007A0D08">
      <w:pPr>
        <w:widowControl/>
        <w:numPr>
          <w:ilvl w:val="1"/>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防禦強化</w:t>
      </w:r>
      <w:r w:rsidRPr="007A0D08">
        <w:rPr>
          <w:rFonts w:ascii="標楷體" w:eastAsia="標楷體" w:hAnsi="標楷體" w:cs="新細明體"/>
          <w:kern w:val="0"/>
          <w:sz w:val="28"/>
          <w:szCs w:val="28"/>
          <w14:ligatures w14:val="none"/>
        </w:rPr>
        <w:t>：建立國家網路安全指揮中心，並部署「國家量子安全網路+（National Quantum-Safe Network+）」。</w:t>
      </w:r>
    </w:p>
    <w:p w14:paraId="1E007CA6" w14:textId="77777777" w:rsidR="007A0D08" w:rsidRPr="007A0D08" w:rsidRDefault="007A0D08" w:rsidP="007A0D08">
      <w:pPr>
        <w:widowControl/>
        <w:numPr>
          <w:ilvl w:val="0"/>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成長（Growth）：以 AI 與高速網絡驅動轉型</w:t>
      </w:r>
    </w:p>
    <w:p w14:paraId="13BAC0FA" w14:textId="77777777" w:rsidR="007A0D08" w:rsidRPr="007A0D08" w:rsidRDefault="007A0D08" w:rsidP="007A0D08">
      <w:pPr>
        <w:widowControl/>
        <w:numPr>
          <w:ilvl w:val="1"/>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科</w:t>
      </w:r>
      <w:proofErr w:type="gramStart"/>
      <w:r w:rsidRPr="007A0D08">
        <w:rPr>
          <w:rFonts w:ascii="標楷體" w:eastAsia="標楷體" w:hAnsi="標楷體" w:cs="新細明體"/>
          <w:b/>
          <w:bCs/>
          <w:kern w:val="0"/>
          <w:sz w:val="28"/>
          <w:szCs w:val="28"/>
          <w14:ligatures w14:val="none"/>
        </w:rPr>
        <w:t>研</w:t>
      </w:r>
      <w:proofErr w:type="gramEnd"/>
      <w:r w:rsidRPr="007A0D08">
        <w:rPr>
          <w:rFonts w:ascii="標楷體" w:eastAsia="標楷體" w:hAnsi="標楷體" w:cs="新細明體"/>
          <w:b/>
          <w:bCs/>
          <w:kern w:val="0"/>
          <w:sz w:val="28"/>
          <w:szCs w:val="28"/>
          <w14:ligatures w14:val="none"/>
        </w:rPr>
        <w:t>與人才</w:t>
      </w:r>
      <w:r w:rsidRPr="007A0D08">
        <w:rPr>
          <w:rFonts w:ascii="標楷體" w:eastAsia="標楷體" w:hAnsi="標楷體" w:cs="新細明體"/>
          <w:kern w:val="0"/>
          <w:sz w:val="28"/>
          <w:szCs w:val="28"/>
          <w14:ligatures w14:val="none"/>
        </w:rPr>
        <w:t xml:space="preserve">：由國家研究基金會（NRF）主導，撥款 </w:t>
      </w:r>
      <w:r w:rsidRPr="007A0D08">
        <w:rPr>
          <w:rFonts w:ascii="標楷體" w:eastAsia="標楷體" w:hAnsi="標楷體" w:cs="新細明體"/>
          <w:b/>
          <w:bCs/>
          <w:kern w:val="0"/>
          <w:sz w:val="28"/>
          <w:szCs w:val="28"/>
          <w14:ligatures w14:val="none"/>
        </w:rPr>
        <w:t>1.2 億新幣</w:t>
      </w:r>
      <w:r w:rsidRPr="007A0D08">
        <w:rPr>
          <w:rFonts w:ascii="標楷體" w:eastAsia="標楷體" w:hAnsi="標楷體" w:cs="新細明體"/>
          <w:kern w:val="0"/>
          <w:sz w:val="28"/>
          <w:szCs w:val="28"/>
          <w14:ligatures w14:val="none"/>
        </w:rPr>
        <w:t>推動「AI for Science」科</w:t>
      </w:r>
      <w:proofErr w:type="gramStart"/>
      <w:r w:rsidRPr="007A0D08">
        <w:rPr>
          <w:rFonts w:ascii="標楷體" w:eastAsia="標楷體" w:hAnsi="標楷體" w:cs="新細明體"/>
          <w:kern w:val="0"/>
          <w:sz w:val="28"/>
          <w:szCs w:val="28"/>
          <w14:ligatures w14:val="none"/>
        </w:rPr>
        <w:t>研</w:t>
      </w:r>
      <w:proofErr w:type="gramEnd"/>
      <w:r w:rsidRPr="007A0D08">
        <w:rPr>
          <w:rFonts w:ascii="標楷體" w:eastAsia="標楷體" w:hAnsi="標楷體" w:cs="新細明體"/>
          <w:kern w:val="0"/>
          <w:sz w:val="28"/>
          <w:szCs w:val="28"/>
          <w14:ligatures w14:val="none"/>
        </w:rPr>
        <w:t>計畫，促進 AI 在先進材料、生物醫學與物流等領域的跨學科應用；中小學導入「AI for Fun」選修課模組；2025 年推出「智慧國教育工作者獎學金（Smart Nation Educator Fellowship）」以提升教師數位教學力。</w:t>
      </w:r>
    </w:p>
    <w:p w14:paraId="7E89F409" w14:textId="77777777" w:rsidR="007A0D08" w:rsidRPr="007A0D08" w:rsidRDefault="007A0D08" w:rsidP="007A0D08">
      <w:pPr>
        <w:widowControl/>
        <w:numPr>
          <w:ilvl w:val="1"/>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治理與設施</w:t>
      </w:r>
      <w:r w:rsidRPr="007A0D08">
        <w:rPr>
          <w:rFonts w:ascii="標楷體" w:eastAsia="標楷體" w:hAnsi="標楷體" w:cs="新細明體"/>
          <w:kern w:val="0"/>
          <w:sz w:val="28"/>
          <w:szCs w:val="28"/>
          <w14:ligatures w14:val="none"/>
        </w:rPr>
        <w:t>：推動「國家人工智慧策略 2.0（NAIS 2.0）」，推出全球首</w:t>
      </w:r>
      <w:proofErr w:type="gramStart"/>
      <w:r w:rsidRPr="007A0D08">
        <w:rPr>
          <w:rFonts w:ascii="標楷體" w:eastAsia="標楷體" w:hAnsi="標楷體" w:cs="新細明體"/>
          <w:kern w:val="0"/>
          <w:sz w:val="28"/>
          <w:szCs w:val="28"/>
          <w14:ligatures w14:val="none"/>
        </w:rPr>
        <w:t>個</w:t>
      </w:r>
      <w:proofErr w:type="gramEnd"/>
      <w:r w:rsidRPr="007A0D08">
        <w:rPr>
          <w:rFonts w:ascii="標楷體" w:eastAsia="標楷體" w:hAnsi="標楷體" w:cs="新細明體"/>
          <w:kern w:val="0"/>
          <w:sz w:val="28"/>
          <w:szCs w:val="28"/>
          <w14:ligatures w14:val="none"/>
        </w:rPr>
        <w:t xml:space="preserve">政府主導之可信 AI 測試框架「AI Verify」、開發東南亞多語大語言模型「SEA-LION」及建置 ASPIRE 2A 超級電腦；依據《數位連接性藍圖》，預計於 </w:t>
      </w:r>
      <w:r w:rsidRPr="007A0D08">
        <w:rPr>
          <w:rFonts w:ascii="標楷體" w:eastAsia="標楷體" w:hAnsi="標楷體" w:cs="新細明體"/>
          <w:b/>
          <w:bCs/>
          <w:kern w:val="0"/>
          <w:sz w:val="28"/>
          <w:szCs w:val="28"/>
          <w14:ligatures w14:val="none"/>
        </w:rPr>
        <w:t>2026 年</w:t>
      </w:r>
      <w:r w:rsidRPr="007A0D08">
        <w:rPr>
          <w:rFonts w:ascii="標楷體" w:eastAsia="標楷體" w:hAnsi="標楷體" w:cs="新細明體"/>
          <w:kern w:val="0"/>
          <w:sz w:val="28"/>
          <w:szCs w:val="28"/>
          <w14:ligatures w14:val="none"/>
        </w:rPr>
        <w:t>提升寬頻速度至 10Gbps。</w:t>
      </w:r>
    </w:p>
    <w:p w14:paraId="0D63E679" w14:textId="77777777" w:rsidR="007A0D08" w:rsidRPr="007A0D08" w:rsidRDefault="007A0D08" w:rsidP="007A0D08">
      <w:pPr>
        <w:widowControl/>
        <w:numPr>
          <w:ilvl w:val="0"/>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lastRenderedPageBreak/>
        <w:t>社群（Community）：包容性科技與全民參與</w:t>
      </w:r>
    </w:p>
    <w:p w14:paraId="4C8D6455" w14:textId="77777777" w:rsidR="007A0D08" w:rsidRPr="007A0D08" w:rsidRDefault="007A0D08" w:rsidP="007A0D08">
      <w:pPr>
        <w:widowControl/>
        <w:numPr>
          <w:ilvl w:val="1"/>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全民素養</w:t>
      </w:r>
      <w:r w:rsidRPr="007A0D08">
        <w:rPr>
          <w:rFonts w:ascii="標楷體" w:eastAsia="標楷體" w:hAnsi="標楷體" w:cs="新細明體"/>
          <w:kern w:val="0"/>
          <w:sz w:val="28"/>
          <w:szCs w:val="28"/>
          <w14:ligatures w14:val="none"/>
        </w:rPr>
        <w:t>：推動「生活數位技能（Digital Skills for Life）」框架，結合國家</w:t>
      </w:r>
      <w:proofErr w:type="gramStart"/>
      <w:r w:rsidRPr="007A0D08">
        <w:rPr>
          <w:rFonts w:ascii="標楷體" w:eastAsia="標楷體" w:hAnsi="標楷體" w:cs="新細明體"/>
          <w:kern w:val="0"/>
          <w:sz w:val="28"/>
          <w:szCs w:val="28"/>
          <w14:ligatures w14:val="none"/>
        </w:rPr>
        <w:t>圖書館資安素養</w:t>
      </w:r>
      <w:proofErr w:type="gramEnd"/>
      <w:r w:rsidRPr="007A0D08">
        <w:rPr>
          <w:rFonts w:ascii="標楷體" w:eastAsia="標楷體" w:hAnsi="標楷體" w:cs="新細明體"/>
          <w:kern w:val="0"/>
          <w:sz w:val="28"/>
          <w:szCs w:val="28"/>
          <w14:ligatures w14:val="none"/>
        </w:rPr>
        <w:t>活動，提高國民辨識假訊息與防詐能力；為兒少與家長提供安全用網資源。</w:t>
      </w:r>
    </w:p>
    <w:p w14:paraId="674EE971" w14:textId="77777777" w:rsidR="007A0D08" w:rsidRPr="007A0D08" w:rsidRDefault="007A0D08" w:rsidP="007A0D08">
      <w:pPr>
        <w:widowControl/>
        <w:numPr>
          <w:ilvl w:val="1"/>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數位包容</w:t>
      </w:r>
      <w:r w:rsidRPr="007A0D08">
        <w:rPr>
          <w:rFonts w:ascii="標楷體" w:eastAsia="標楷體" w:hAnsi="標楷體" w:cs="新細明體"/>
          <w:kern w:val="0"/>
          <w:sz w:val="28"/>
          <w:szCs w:val="28"/>
          <w14:ligatures w14:val="none"/>
        </w:rPr>
        <w:t>：提供低收入戶與樂齡族群寬頻及數位裝置補貼，透過樂齡學苑（C3A）開設超過 180 門智慧裝置</w:t>
      </w:r>
      <w:proofErr w:type="gramStart"/>
      <w:r w:rsidRPr="007A0D08">
        <w:rPr>
          <w:rFonts w:ascii="標楷體" w:eastAsia="標楷體" w:hAnsi="標楷體" w:cs="新細明體"/>
          <w:kern w:val="0"/>
          <w:sz w:val="28"/>
          <w:szCs w:val="28"/>
          <w14:ligatures w14:val="none"/>
        </w:rPr>
        <w:t>與線上交易</w:t>
      </w:r>
      <w:proofErr w:type="gramEnd"/>
      <w:r w:rsidRPr="007A0D08">
        <w:rPr>
          <w:rFonts w:ascii="標楷體" w:eastAsia="標楷體" w:hAnsi="標楷體" w:cs="新細明體"/>
          <w:kern w:val="0"/>
          <w:sz w:val="28"/>
          <w:szCs w:val="28"/>
          <w14:ligatures w14:val="none"/>
        </w:rPr>
        <w:t>課程，打破數位落差。</w:t>
      </w:r>
    </w:p>
    <w:p w14:paraId="595E88B7" w14:textId="77777777" w:rsidR="007A0D08" w:rsidRPr="007A0D08" w:rsidRDefault="007A0D08" w:rsidP="007A0D08">
      <w:pPr>
        <w:widowControl/>
        <w:numPr>
          <w:ilvl w:val="1"/>
          <w:numId w:val="3"/>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科技互助</w:t>
      </w:r>
      <w:r w:rsidRPr="007A0D08">
        <w:rPr>
          <w:rFonts w:ascii="標楷體" w:eastAsia="標楷體" w:hAnsi="標楷體" w:cs="新細明體"/>
          <w:kern w:val="0"/>
          <w:sz w:val="28"/>
          <w:szCs w:val="28"/>
          <w14:ligatures w14:val="none"/>
        </w:rPr>
        <w:t xml:space="preserve">：持續升級 </w:t>
      </w:r>
      <w:proofErr w:type="spellStart"/>
      <w:r w:rsidRPr="007A0D08">
        <w:rPr>
          <w:rFonts w:ascii="標楷體" w:eastAsia="標楷體" w:hAnsi="標楷體" w:cs="新細明體"/>
          <w:kern w:val="0"/>
          <w:sz w:val="28"/>
          <w:szCs w:val="28"/>
          <w14:ligatures w14:val="none"/>
        </w:rPr>
        <w:t>myResponder</w:t>
      </w:r>
      <w:proofErr w:type="spellEnd"/>
      <w:r w:rsidRPr="007A0D08">
        <w:rPr>
          <w:rFonts w:ascii="標楷體" w:eastAsia="標楷體" w:hAnsi="標楷體" w:cs="新細明體"/>
          <w:kern w:val="0"/>
          <w:sz w:val="28"/>
          <w:szCs w:val="28"/>
          <w14:ligatures w14:val="none"/>
        </w:rPr>
        <w:t xml:space="preserve"> 志工救護 App，透過地理定位號召社區志工進行緊急救護與支援。</w:t>
      </w:r>
    </w:p>
    <w:p w14:paraId="1AAFA734"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2.3 缺點與局限：亮麗表象下的代價與複製門檻</w:t>
      </w:r>
    </w:p>
    <w:p w14:paraId="5FAE3DBF"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新加坡模式的成功，背後建立在特殊的經濟與政經體制之上，具有顯著的複製門檻：</w:t>
      </w:r>
    </w:p>
    <w:p w14:paraId="3A83A9A5" w14:textId="77777777" w:rsidR="007A0D08" w:rsidRPr="007A0D08" w:rsidRDefault="007A0D08" w:rsidP="007A0D08">
      <w:pPr>
        <w:widowControl/>
        <w:numPr>
          <w:ilvl w:val="0"/>
          <w:numId w:val="4"/>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高昂的擁車成本與生活負擔</w:t>
      </w:r>
      <w:r w:rsidRPr="007A0D08">
        <w:rPr>
          <w:rFonts w:ascii="標楷體" w:eastAsia="標楷體" w:hAnsi="標楷體" w:cs="新細明體"/>
          <w:kern w:val="0"/>
          <w:sz w:val="28"/>
          <w:szCs w:val="28"/>
          <w14:ligatures w14:val="none"/>
        </w:rPr>
        <w:t>：新加坡實施擁車證（COE）制度，總量管制車輛數，一張 10 年期汽車證照價格即高達約新台幣 150 萬元。買一台普通私人汽車連同稅金與證照，總成本高達新台幣 300 萬元以上，加上電子道路收費（ERP）與高</w:t>
      </w:r>
      <w:r w:rsidRPr="007A0D08">
        <w:rPr>
          <w:rFonts w:ascii="標楷體" w:eastAsia="標楷體" w:hAnsi="標楷體" w:cs="新細明體"/>
          <w:kern w:val="0"/>
          <w:sz w:val="28"/>
          <w:szCs w:val="28"/>
          <w14:ligatures w14:val="none"/>
        </w:rPr>
        <w:lastRenderedPageBreak/>
        <w:t>昂停車費，將私人運具設為少數人的高價奢侈品，強烈抑制私人汽機車成長。</w:t>
      </w:r>
    </w:p>
    <w:p w14:paraId="680FEFF0" w14:textId="77777777" w:rsidR="007A0D08" w:rsidRPr="007A0D08" w:rsidRDefault="007A0D08" w:rsidP="007A0D08">
      <w:pPr>
        <w:widowControl/>
        <w:numPr>
          <w:ilvl w:val="0"/>
          <w:numId w:val="4"/>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由上而下的高度行政管束</w:t>
      </w:r>
      <w:r w:rsidRPr="007A0D08">
        <w:rPr>
          <w:rFonts w:ascii="標楷體" w:eastAsia="標楷體" w:hAnsi="標楷體" w:cs="新細明體"/>
          <w:kern w:val="0"/>
          <w:sz w:val="28"/>
          <w:szCs w:val="28"/>
          <w14:ligatures w14:val="none"/>
        </w:rPr>
        <w:t>：治理成效極度仰賴政府強大的行政執行力與社會秩序管束，施政以效率為先，缺乏傳統民主體制中公眾參與、多方博弈與社區爭議討論的空間。</w:t>
      </w:r>
    </w:p>
    <w:p w14:paraId="4674B197" w14:textId="77777777" w:rsidR="007A0D08" w:rsidRPr="007A0D08" w:rsidRDefault="007A0D08" w:rsidP="007A0D08">
      <w:pPr>
        <w:widowControl/>
        <w:numPr>
          <w:ilvl w:val="0"/>
          <w:numId w:val="4"/>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土地國有化的不可複製性</w:t>
      </w:r>
      <w:r w:rsidRPr="007A0D08">
        <w:rPr>
          <w:rFonts w:ascii="標楷體" w:eastAsia="標楷體" w:hAnsi="標楷體" w:cs="新細明體"/>
          <w:kern w:val="0"/>
          <w:sz w:val="28"/>
          <w:szCs w:val="28"/>
          <w14:ligatures w14:val="none"/>
        </w:rPr>
        <w:t>：新加坡政府掌握超過八成的國有土地，具備極強的土地徵收與大面積整體重劃權力，能以極低阻力推動長期規劃。這種土地產權高度集中的前提，在私有財產權受憲法保障的地區極難複製。</w:t>
      </w:r>
    </w:p>
    <w:p w14:paraId="05CDBAD0" w14:textId="77777777" w:rsidR="007A0D08" w:rsidRPr="007A0D08" w:rsidRDefault="007A0D08" w:rsidP="007A0D08">
      <w:pPr>
        <w:widowControl/>
        <w:spacing w:before="100" w:beforeAutospacing="1" w:after="100" w:afterAutospacing="1" w:line="240" w:lineRule="auto"/>
        <w:outlineLvl w:val="2"/>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3. 第二核心：新加坡經驗能照單</w:t>
      </w:r>
      <w:proofErr w:type="gramStart"/>
      <w:r w:rsidRPr="007A0D08">
        <w:rPr>
          <w:rFonts w:ascii="標楷體" w:eastAsia="標楷體" w:hAnsi="標楷體" w:cs="新細明體"/>
          <w:b/>
          <w:bCs/>
          <w:kern w:val="0"/>
          <w:sz w:val="28"/>
          <w:szCs w:val="28"/>
          <w14:ligatures w14:val="none"/>
        </w:rPr>
        <w:t>全收嗎</w:t>
      </w:r>
      <w:proofErr w:type="gramEnd"/>
      <w:r w:rsidRPr="007A0D08">
        <w:rPr>
          <w:rFonts w:ascii="標楷體" w:eastAsia="標楷體" w:hAnsi="標楷體" w:cs="新細明體"/>
          <w:b/>
          <w:bCs/>
          <w:kern w:val="0"/>
          <w:sz w:val="28"/>
          <w:szCs w:val="28"/>
          <w14:ligatures w14:val="none"/>
        </w:rPr>
        <w:t>？</w:t>
      </w:r>
      <w:proofErr w:type="gramStart"/>
      <w:r w:rsidRPr="007A0D08">
        <w:rPr>
          <w:rFonts w:ascii="標楷體" w:eastAsia="標楷體" w:hAnsi="標楷體" w:cs="新細明體"/>
          <w:b/>
          <w:bCs/>
          <w:kern w:val="0"/>
          <w:sz w:val="28"/>
          <w:szCs w:val="28"/>
          <w14:ligatures w14:val="none"/>
        </w:rPr>
        <w:t>——</w:t>
      </w:r>
      <w:proofErr w:type="gramEnd"/>
      <w:r w:rsidRPr="007A0D08">
        <w:rPr>
          <w:rFonts w:ascii="標楷體" w:eastAsia="標楷體" w:hAnsi="標楷體" w:cs="新細明體"/>
          <w:b/>
          <w:bCs/>
          <w:kern w:val="0"/>
          <w:sz w:val="28"/>
          <w:szCs w:val="28"/>
          <w14:ligatures w14:val="none"/>
        </w:rPr>
        <w:t>台新「體制差異」大盤點</w:t>
      </w:r>
    </w:p>
    <w:p w14:paraId="40845F95"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3.1 治理結構與政治體制差異</w:t>
      </w:r>
    </w:p>
    <w:p w14:paraId="31539C70"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新加坡屬於「城市國家（City-State）」，由人民行動黨（PAP）長期執政，國家中央政策與城市發展規劃高度一體化，不存在中央與地方分權或跨行政區劃的協調障礙。相對地，台灣屬於中央與地方分權體制，都會區治理往往跨越縣市行政邊界（如北</w:t>
      </w:r>
      <w:proofErr w:type="gramStart"/>
      <w:r w:rsidRPr="007A0D08">
        <w:rPr>
          <w:rFonts w:ascii="標楷體" w:eastAsia="標楷體" w:hAnsi="標楷體" w:cs="新細明體"/>
          <w:kern w:val="0"/>
          <w:sz w:val="28"/>
          <w:szCs w:val="28"/>
          <w14:ligatures w14:val="none"/>
        </w:rPr>
        <w:t>北基桃</w:t>
      </w:r>
      <w:proofErr w:type="gramEnd"/>
      <w:r w:rsidRPr="007A0D08">
        <w:rPr>
          <w:rFonts w:ascii="標楷體" w:eastAsia="標楷體" w:hAnsi="標楷體" w:cs="新細明體"/>
          <w:kern w:val="0"/>
          <w:sz w:val="28"/>
          <w:szCs w:val="28"/>
          <w14:ligatures w14:val="none"/>
        </w:rPr>
        <w:t>、中彰投、南高屏生活圈），</w:t>
      </w:r>
      <w:proofErr w:type="gramStart"/>
      <w:r w:rsidRPr="007A0D08">
        <w:rPr>
          <w:rFonts w:ascii="標楷體" w:eastAsia="標楷體" w:hAnsi="標楷體" w:cs="新細明體"/>
          <w:kern w:val="0"/>
          <w:sz w:val="28"/>
          <w:szCs w:val="28"/>
          <w14:ligatures w14:val="none"/>
        </w:rPr>
        <w:t>跨域協調</w:t>
      </w:r>
      <w:proofErr w:type="gramEnd"/>
      <w:r w:rsidRPr="007A0D08">
        <w:rPr>
          <w:rFonts w:ascii="標楷體" w:eastAsia="標楷體" w:hAnsi="標楷體" w:cs="新細明體"/>
          <w:kern w:val="0"/>
          <w:sz w:val="28"/>
          <w:szCs w:val="28"/>
          <w14:ligatures w14:val="none"/>
        </w:rPr>
        <w:t>成本高；同時，台灣設有定期民主</w:t>
      </w:r>
      <w:r w:rsidRPr="007A0D08">
        <w:rPr>
          <w:rFonts w:ascii="標楷體" w:eastAsia="標楷體" w:hAnsi="標楷體" w:cs="新細明體"/>
          <w:kern w:val="0"/>
          <w:sz w:val="28"/>
          <w:szCs w:val="28"/>
          <w14:ligatures w14:val="none"/>
        </w:rPr>
        <w:lastRenderedPageBreak/>
        <w:t>選舉，政治人物常面臨短期政績壓力，</w:t>
      </w:r>
      <w:proofErr w:type="gramStart"/>
      <w:r w:rsidRPr="007A0D08">
        <w:rPr>
          <w:rFonts w:ascii="標楷體" w:eastAsia="標楷體" w:hAnsi="標楷體" w:cs="新細明體"/>
          <w:kern w:val="0"/>
          <w:sz w:val="28"/>
          <w:szCs w:val="28"/>
          <w14:ligatures w14:val="none"/>
        </w:rPr>
        <w:t>使跨任期</w:t>
      </w:r>
      <w:proofErr w:type="gramEnd"/>
      <w:r w:rsidRPr="007A0D08">
        <w:rPr>
          <w:rFonts w:ascii="標楷體" w:eastAsia="標楷體" w:hAnsi="標楷體" w:cs="新細明體"/>
          <w:kern w:val="0"/>
          <w:sz w:val="28"/>
          <w:szCs w:val="28"/>
          <w14:ligatures w14:val="none"/>
        </w:rPr>
        <w:t>的長期政策連續性面臨考驗。</w:t>
      </w:r>
    </w:p>
    <w:p w14:paraId="6FA54F33"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3.2 土地產權與法律權限差異</w:t>
      </w:r>
    </w:p>
    <w:p w14:paraId="33DC418D"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新加坡以土地公有為主體（國有率逾八成），政府擁有強力法律工具可進行大面積徵收與整體開發，都市更新阻力極小。相反地，台灣憲法高度保障私有財產權，土地產權極度分散且高度私有化。都市開發與都更市場主要由建商與私地主主導，公權力介入重劃或徵收受嚴格法律限制，整合過程耗時且需付出龐大的溝通與財務成本。</w:t>
      </w:r>
    </w:p>
    <w:p w14:paraId="23CB98F6"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3.3 體制差異綜合對照</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2"/>
        <w:gridCol w:w="3489"/>
        <w:gridCol w:w="3689"/>
      </w:tblGrid>
      <w:tr w:rsidR="007A0D08" w:rsidRPr="007A0D08" w14:paraId="1D43FC31"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54B7EDEE"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比較項目</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FB820"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新加坡體制</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77658"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台灣體制</w:t>
            </w:r>
          </w:p>
        </w:tc>
      </w:tr>
      <w:tr w:rsidR="007A0D08" w:rsidRPr="007A0D08" w14:paraId="2B4DAC10"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542E9EB2"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政治決策與體制</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AE3AA"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城市國家、單一政黨長期執政；決策與執行高度集中，具長期連續性。</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CB1CC"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中央與地方分權；定期民主選舉，政策易受任期與政黨輪替影響。</w:t>
            </w:r>
          </w:p>
        </w:tc>
      </w:tr>
      <w:tr w:rsidR="007A0D08" w:rsidRPr="007A0D08" w14:paraId="2C015E9E"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5DCEAA31"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lastRenderedPageBreak/>
              <w:t>土地產權與徵收</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40579"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土地國有率達八成以上；政府具強大徵收與整體重劃權力。</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2CD79"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土地高度私有化，憲法嚴格保障私權；都更與重劃整合成本極高。</w:t>
            </w:r>
          </w:p>
        </w:tc>
      </w:tr>
      <w:tr w:rsidR="007A0D08" w:rsidRPr="007A0D08" w14:paraId="1909B806"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4B97AE10"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中央與地方關係</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D6D6A"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無中央與地方分界，單一行政層級直轄全島。</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B2790"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存在中央、縣市多層級分工，都市生活圈往往需要跨縣市複雜協商。</w:t>
            </w:r>
          </w:p>
        </w:tc>
      </w:tr>
      <w:tr w:rsidR="007A0D08" w:rsidRPr="007A0D08" w14:paraId="7903A490" w14:textId="77777777" w:rsidTr="00B57FF4">
        <w:tc>
          <w:tcPr>
            <w:tcW w:w="0" w:type="auto"/>
            <w:tcBorders>
              <w:top w:val="outset" w:sz="6" w:space="0" w:color="auto"/>
              <w:left w:val="outset" w:sz="6" w:space="0" w:color="auto"/>
              <w:bottom w:val="outset" w:sz="6" w:space="0" w:color="auto"/>
              <w:right w:val="outset" w:sz="6" w:space="0" w:color="auto"/>
            </w:tcBorders>
            <w:vAlign w:val="center"/>
            <w:hideMark/>
          </w:tcPr>
          <w:p w14:paraId="24E5898F"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政策推動與執行阻力</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B0273"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行政效率極高，</w:t>
            </w:r>
            <w:proofErr w:type="gramStart"/>
            <w:r w:rsidRPr="007A0D08">
              <w:rPr>
                <w:rFonts w:ascii="標楷體" w:eastAsia="標楷體" w:hAnsi="標楷體" w:cs="新細明體"/>
                <w:kern w:val="0"/>
                <w:sz w:val="28"/>
                <w:szCs w:val="28"/>
                <w14:ligatures w14:val="none"/>
              </w:rPr>
              <w:t>採</w:t>
            </w:r>
            <w:proofErr w:type="gramEnd"/>
            <w:r w:rsidRPr="007A0D08">
              <w:rPr>
                <w:rFonts w:ascii="標楷體" w:eastAsia="標楷體" w:hAnsi="標楷體" w:cs="新細明體"/>
                <w:kern w:val="0"/>
                <w:sz w:val="28"/>
                <w:szCs w:val="28"/>
                <w14:ligatures w14:val="none"/>
              </w:rPr>
              <w:t>由上而下指令，傳統民眾參與和對立阻力低。</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9C4E7"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強調民主參與</w:t>
            </w:r>
            <w:proofErr w:type="gramStart"/>
            <w:r w:rsidRPr="007A0D08">
              <w:rPr>
                <w:rFonts w:ascii="標楷體" w:eastAsia="標楷體" w:hAnsi="標楷體" w:cs="新細明體"/>
                <w:kern w:val="0"/>
                <w:sz w:val="28"/>
                <w:szCs w:val="28"/>
                <w14:ligatures w14:val="none"/>
              </w:rPr>
              <w:t>與</w:t>
            </w:r>
            <w:proofErr w:type="gramEnd"/>
            <w:r w:rsidRPr="007A0D08">
              <w:rPr>
                <w:rFonts w:ascii="標楷體" w:eastAsia="標楷體" w:hAnsi="標楷體" w:cs="新細明體"/>
                <w:kern w:val="0"/>
                <w:sz w:val="28"/>
                <w:szCs w:val="28"/>
                <w14:ligatures w14:val="none"/>
              </w:rPr>
              <w:t>多元博弈，需透過公聽會與溝通爭取認同，推動阻力較大。</w:t>
            </w:r>
          </w:p>
        </w:tc>
      </w:tr>
    </w:tbl>
    <w:p w14:paraId="1BCD0F91" w14:textId="77777777" w:rsidR="007A0D08" w:rsidRPr="007A0D08" w:rsidRDefault="007A0D08" w:rsidP="007A0D08">
      <w:pPr>
        <w:widowControl/>
        <w:spacing w:before="100" w:beforeAutospacing="1" w:after="100" w:afterAutospacing="1" w:line="240" w:lineRule="auto"/>
        <w:outlineLvl w:val="2"/>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4. 第三核心：不</w:t>
      </w:r>
      <w:proofErr w:type="gramStart"/>
      <w:r w:rsidRPr="007A0D08">
        <w:rPr>
          <w:rFonts w:ascii="標楷體" w:eastAsia="標楷體" w:hAnsi="標楷體" w:cs="新細明體"/>
          <w:b/>
          <w:bCs/>
          <w:kern w:val="0"/>
          <w:sz w:val="28"/>
          <w:szCs w:val="28"/>
          <w14:ligatures w14:val="none"/>
        </w:rPr>
        <w:t>搬套抄</w:t>
      </w:r>
      <w:proofErr w:type="gramEnd"/>
      <w:r w:rsidRPr="007A0D08">
        <w:rPr>
          <w:rFonts w:ascii="標楷體" w:eastAsia="標楷體" w:hAnsi="標楷體" w:cs="新細明體"/>
          <w:b/>
          <w:bCs/>
          <w:kern w:val="0"/>
          <w:sz w:val="28"/>
          <w:szCs w:val="28"/>
          <w14:ligatures w14:val="none"/>
        </w:rPr>
        <w:t>！台灣如何「務實借</w:t>
      </w:r>
      <w:proofErr w:type="gramStart"/>
      <w:r w:rsidRPr="007A0D08">
        <w:rPr>
          <w:rFonts w:ascii="標楷體" w:eastAsia="標楷體" w:hAnsi="標楷體" w:cs="新細明體"/>
          <w:b/>
          <w:bCs/>
          <w:kern w:val="0"/>
          <w:sz w:val="28"/>
          <w:szCs w:val="28"/>
          <w14:ligatures w14:val="none"/>
        </w:rPr>
        <w:t>鑑</w:t>
      </w:r>
      <w:proofErr w:type="gramEnd"/>
      <w:r w:rsidRPr="007A0D08">
        <w:rPr>
          <w:rFonts w:ascii="標楷體" w:eastAsia="標楷體" w:hAnsi="標楷體" w:cs="新細明體"/>
          <w:b/>
          <w:bCs/>
          <w:kern w:val="0"/>
          <w:sz w:val="28"/>
          <w:szCs w:val="28"/>
          <w14:ligatures w14:val="none"/>
        </w:rPr>
        <w:t>」新加坡？</w:t>
      </w:r>
    </w:p>
    <w:p w14:paraId="24DAECD8"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4.1 地方縣市層級：打造連續人行動線與跨縣市交通廊道</w:t>
      </w:r>
    </w:p>
    <w:p w14:paraId="7DBCD2A9" w14:textId="77777777" w:rsidR="007A0D08" w:rsidRPr="007A0D08" w:rsidRDefault="007A0D08" w:rsidP="007A0D08">
      <w:pPr>
        <w:widowControl/>
        <w:numPr>
          <w:ilvl w:val="0"/>
          <w:numId w:val="5"/>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風雨走廊與人行空間縫合</w:t>
      </w:r>
      <w:r w:rsidRPr="007A0D08">
        <w:rPr>
          <w:rFonts w:ascii="標楷體" w:eastAsia="標楷體" w:hAnsi="標楷體" w:cs="新細明體"/>
          <w:kern w:val="0"/>
          <w:sz w:val="28"/>
          <w:szCs w:val="28"/>
          <w14:ligatures w14:val="none"/>
        </w:rPr>
        <w:t>：台灣縣市政府無須變更土地產權，可透過修訂地方**「土地使用分區管制要點」**，強制規定特定分區或退縮地規範，或提供額外容積獎勵，要求建商在新建案中串聯帶簷人行道（風雨走廊）並配置綠蔭植栽，創造 15 分鐘舒適步行環境。</w:t>
      </w:r>
    </w:p>
    <w:p w14:paraId="4FEAA670" w14:textId="77777777" w:rsidR="007A0D08" w:rsidRPr="007A0D08" w:rsidRDefault="007A0D08" w:rsidP="007A0D08">
      <w:pPr>
        <w:widowControl/>
        <w:numPr>
          <w:ilvl w:val="0"/>
          <w:numId w:val="5"/>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跨縣市大眾運輸廊道</w:t>
      </w:r>
      <w:r w:rsidRPr="007A0D08">
        <w:rPr>
          <w:rFonts w:ascii="標楷體" w:eastAsia="標楷體" w:hAnsi="標楷體" w:cs="新細明體"/>
          <w:kern w:val="0"/>
          <w:sz w:val="28"/>
          <w:szCs w:val="28"/>
          <w14:ligatures w14:val="none"/>
        </w:rPr>
        <w:t>：借</w:t>
      </w:r>
      <w:proofErr w:type="gramStart"/>
      <w:r w:rsidRPr="007A0D08">
        <w:rPr>
          <w:rFonts w:ascii="標楷體" w:eastAsia="標楷體" w:hAnsi="標楷體" w:cs="新細明體"/>
          <w:kern w:val="0"/>
          <w:sz w:val="28"/>
          <w:szCs w:val="28"/>
          <w14:ligatures w14:val="none"/>
        </w:rPr>
        <w:t>鑑</w:t>
      </w:r>
      <w:proofErr w:type="gramEnd"/>
      <w:r w:rsidRPr="007A0D08">
        <w:rPr>
          <w:rFonts w:ascii="標楷體" w:eastAsia="標楷體" w:hAnsi="標楷體" w:cs="新細明體"/>
          <w:kern w:val="0"/>
          <w:sz w:val="28"/>
          <w:szCs w:val="28"/>
          <w14:ligatures w14:val="none"/>
        </w:rPr>
        <w:t>新加坡跨區交通整合經驗，台灣主要都會區應充分運用現有</w:t>
      </w:r>
      <w:proofErr w:type="gramStart"/>
      <w:r w:rsidRPr="007A0D08">
        <w:rPr>
          <w:rFonts w:ascii="標楷體" w:eastAsia="標楷體" w:hAnsi="標楷體" w:cs="新細明體"/>
          <w:kern w:val="0"/>
          <w:sz w:val="28"/>
          <w:szCs w:val="28"/>
          <w14:ligatures w14:val="none"/>
        </w:rPr>
        <w:t>的跨域治理</w:t>
      </w:r>
      <w:proofErr w:type="gramEnd"/>
      <w:r w:rsidRPr="007A0D08">
        <w:rPr>
          <w:rFonts w:ascii="標楷體" w:eastAsia="標楷體" w:hAnsi="標楷體" w:cs="新細明體"/>
          <w:kern w:val="0"/>
          <w:sz w:val="28"/>
          <w:szCs w:val="28"/>
          <w14:ligatures w14:val="none"/>
        </w:rPr>
        <w:t>平台（如北</w:t>
      </w:r>
      <w:proofErr w:type="gramStart"/>
      <w:r w:rsidRPr="007A0D08">
        <w:rPr>
          <w:rFonts w:ascii="標楷體" w:eastAsia="標楷體" w:hAnsi="標楷體" w:cs="新細明體"/>
          <w:kern w:val="0"/>
          <w:sz w:val="28"/>
          <w:szCs w:val="28"/>
          <w14:ligatures w14:val="none"/>
        </w:rPr>
        <w:t>北基桃</w:t>
      </w:r>
      <w:proofErr w:type="gramEnd"/>
      <w:r w:rsidRPr="007A0D08">
        <w:rPr>
          <w:rFonts w:ascii="標楷體" w:eastAsia="標楷體" w:hAnsi="標楷體" w:cs="新細明體"/>
          <w:kern w:val="0"/>
          <w:sz w:val="28"/>
          <w:szCs w:val="28"/>
          <w14:ligatures w14:val="none"/>
        </w:rPr>
        <w:t>、中彰</w:t>
      </w:r>
      <w:r w:rsidRPr="007A0D08">
        <w:rPr>
          <w:rFonts w:ascii="標楷體" w:eastAsia="標楷體" w:hAnsi="標楷體" w:cs="新細明體"/>
          <w:kern w:val="0"/>
          <w:sz w:val="28"/>
          <w:szCs w:val="28"/>
          <w14:ligatures w14:val="none"/>
        </w:rPr>
        <w:lastRenderedPageBreak/>
        <w:t>投、南高屏跨域治理平台），建立常態化協調機制，打破行政邊界，統一整合幹線公車、捷運與台鐵班次，建構高效銜接的生活圈路網。</w:t>
      </w:r>
    </w:p>
    <w:p w14:paraId="77FFF911"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4.2 居住與交通縫合：捷運 TOD 結合包容性社會住宅</w:t>
      </w:r>
    </w:p>
    <w:p w14:paraId="3202EDF9"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參考新加坡公共住宅（HDB）與捷運站（MRT）密不可分的 TOD（大眾運輸導向開發）模式：</w:t>
      </w:r>
    </w:p>
    <w:p w14:paraId="35703968" w14:textId="77777777" w:rsidR="007A0D08" w:rsidRPr="007A0D08" w:rsidRDefault="007A0D08" w:rsidP="007A0D08">
      <w:pPr>
        <w:widowControl/>
        <w:numPr>
          <w:ilvl w:val="0"/>
          <w:numId w:val="6"/>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捷運站旁直接劃</w:t>
      </w:r>
      <w:proofErr w:type="gramStart"/>
      <w:r w:rsidRPr="007A0D08">
        <w:rPr>
          <w:rFonts w:ascii="標楷體" w:eastAsia="標楷體" w:hAnsi="標楷體" w:cs="新細明體"/>
          <w:b/>
          <w:bCs/>
          <w:kern w:val="0"/>
          <w:sz w:val="28"/>
          <w:szCs w:val="28"/>
          <w14:ligatures w14:val="none"/>
        </w:rPr>
        <w:t>設社宅</w:t>
      </w:r>
      <w:proofErr w:type="gramEnd"/>
      <w:r w:rsidRPr="007A0D08">
        <w:rPr>
          <w:rFonts w:ascii="標楷體" w:eastAsia="標楷體" w:hAnsi="標楷體" w:cs="新細明體"/>
          <w:kern w:val="0"/>
          <w:sz w:val="28"/>
          <w:szCs w:val="28"/>
          <w14:ligatures w14:val="none"/>
        </w:rPr>
        <w:t>：台灣應將社會住宅直接規劃於捷運站周邊精華地段，或於捷運聯合</w:t>
      </w:r>
      <w:proofErr w:type="gramStart"/>
      <w:r w:rsidRPr="007A0D08">
        <w:rPr>
          <w:rFonts w:ascii="標楷體" w:eastAsia="標楷體" w:hAnsi="標楷體" w:cs="新細明體"/>
          <w:kern w:val="0"/>
          <w:sz w:val="28"/>
          <w:szCs w:val="28"/>
          <w14:ligatures w14:val="none"/>
        </w:rPr>
        <w:t>開發站體上方設置社宅</w:t>
      </w:r>
      <w:proofErr w:type="gramEnd"/>
      <w:r w:rsidRPr="007A0D08">
        <w:rPr>
          <w:rFonts w:ascii="標楷體" w:eastAsia="標楷體" w:hAnsi="標楷體" w:cs="新細明體"/>
          <w:kern w:val="0"/>
          <w:sz w:val="28"/>
          <w:szCs w:val="28"/>
          <w14:ligatures w14:val="none"/>
        </w:rPr>
        <w:t>，</w:t>
      </w:r>
      <w:proofErr w:type="gramStart"/>
      <w:r w:rsidRPr="007A0D08">
        <w:rPr>
          <w:rFonts w:ascii="標楷體" w:eastAsia="標楷體" w:hAnsi="標楷體" w:cs="新細明體"/>
          <w:kern w:val="0"/>
          <w:sz w:val="28"/>
          <w:szCs w:val="28"/>
          <w14:ligatures w14:val="none"/>
        </w:rPr>
        <w:t>避免社宅被</w:t>
      </w:r>
      <w:proofErr w:type="gramEnd"/>
      <w:r w:rsidRPr="007A0D08">
        <w:rPr>
          <w:rFonts w:ascii="標楷體" w:eastAsia="標楷體" w:hAnsi="標楷體" w:cs="新細明體"/>
          <w:kern w:val="0"/>
          <w:sz w:val="28"/>
          <w:szCs w:val="28"/>
          <w14:ligatures w14:val="none"/>
        </w:rPr>
        <w:t>邊緣化至都市邊陲。</w:t>
      </w:r>
    </w:p>
    <w:p w14:paraId="2D571D5B" w14:textId="77777777" w:rsidR="007A0D08" w:rsidRPr="007A0D08" w:rsidRDefault="007A0D08" w:rsidP="007A0D08">
      <w:pPr>
        <w:widowControl/>
        <w:numPr>
          <w:ilvl w:val="0"/>
          <w:numId w:val="6"/>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融入多元公共服務機能</w:t>
      </w:r>
      <w:r w:rsidRPr="007A0D08">
        <w:rPr>
          <w:rFonts w:ascii="標楷體" w:eastAsia="標楷體" w:hAnsi="標楷體" w:cs="新細明體"/>
          <w:kern w:val="0"/>
          <w:sz w:val="28"/>
          <w:szCs w:val="28"/>
          <w14:ligatures w14:val="none"/>
        </w:rPr>
        <w:t>：</w:t>
      </w:r>
      <w:proofErr w:type="gramStart"/>
      <w:r w:rsidRPr="007A0D08">
        <w:rPr>
          <w:rFonts w:ascii="標楷體" w:eastAsia="標楷體" w:hAnsi="標楷體" w:cs="新細明體"/>
          <w:kern w:val="0"/>
          <w:sz w:val="28"/>
          <w:szCs w:val="28"/>
          <w14:ligatures w14:val="none"/>
        </w:rPr>
        <w:t>社宅低</w:t>
      </w:r>
      <w:proofErr w:type="gramEnd"/>
      <w:r w:rsidRPr="007A0D08">
        <w:rPr>
          <w:rFonts w:ascii="標楷體" w:eastAsia="標楷體" w:hAnsi="標楷體" w:cs="新細明體"/>
          <w:kern w:val="0"/>
          <w:sz w:val="28"/>
          <w:szCs w:val="28"/>
          <w14:ligatures w14:val="none"/>
        </w:rPr>
        <w:t>樓層應複合規劃熟食中心/美食街、幼兒托育、樂齡照護、診所與超市等日常服務，打造具備包容性與極高便利性的社區生活圈。</w:t>
      </w:r>
    </w:p>
    <w:p w14:paraId="020DE5FB" w14:textId="77777777" w:rsidR="007A0D08" w:rsidRPr="007A0D08" w:rsidRDefault="007A0D08" w:rsidP="007A0D08">
      <w:pPr>
        <w:widowControl/>
        <w:spacing w:before="100" w:beforeAutospacing="1" w:after="100" w:afterAutospacing="1" w:line="240" w:lineRule="auto"/>
        <w:outlineLvl w:val="3"/>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4.3 中央法規與金融端：多管齊下防堵建商養地囤地</w:t>
      </w:r>
    </w:p>
    <w:p w14:paraId="6A3C9151"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現行台灣建商與地主經常利用法律漏洞進行「養地節稅」：將精華區未開發</w:t>
      </w:r>
      <w:proofErr w:type="gramStart"/>
      <w:r w:rsidRPr="007A0D08">
        <w:rPr>
          <w:rFonts w:ascii="標楷體" w:eastAsia="標楷體" w:hAnsi="標楷體" w:cs="新細明體"/>
          <w:kern w:val="0"/>
          <w:sz w:val="28"/>
          <w:szCs w:val="28"/>
          <w14:ligatures w14:val="none"/>
        </w:rPr>
        <w:t>土地塗鋪水泥</w:t>
      </w:r>
      <w:proofErr w:type="gramEnd"/>
      <w:r w:rsidRPr="007A0D08">
        <w:rPr>
          <w:rFonts w:ascii="標楷體" w:eastAsia="標楷體" w:hAnsi="標楷體" w:cs="新細明體"/>
          <w:kern w:val="0"/>
          <w:sz w:val="28"/>
          <w:szCs w:val="28"/>
          <w14:ligatures w14:val="none"/>
        </w:rPr>
        <w:t xml:space="preserve">開闢為「臨時停車場」或簡易綠化，藉此擺脫《平均地權條例》第 26 條之「空地稅」認定（空地稅可加徵 2 至 5 </w:t>
      </w:r>
      <w:proofErr w:type="gramStart"/>
      <w:r w:rsidRPr="007A0D08">
        <w:rPr>
          <w:rFonts w:ascii="標楷體" w:eastAsia="標楷體" w:hAnsi="標楷體" w:cs="新細明體"/>
          <w:kern w:val="0"/>
          <w:sz w:val="28"/>
          <w:szCs w:val="28"/>
          <w14:ligatures w14:val="none"/>
        </w:rPr>
        <w:t>倍</w:t>
      </w:r>
      <w:proofErr w:type="gramEnd"/>
      <w:r w:rsidRPr="007A0D08">
        <w:rPr>
          <w:rFonts w:ascii="標楷體" w:eastAsia="標楷體" w:hAnsi="標楷體" w:cs="新細明體"/>
          <w:kern w:val="0"/>
          <w:sz w:val="28"/>
          <w:szCs w:val="28"/>
          <w14:ligatures w14:val="none"/>
        </w:rPr>
        <w:t>地價稅），不僅能適用 10‰ 優惠稅率，甚至領取地方政府</w:t>
      </w:r>
      <w:r w:rsidRPr="007A0D08">
        <w:rPr>
          <w:rFonts w:ascii="標楷體" w:eastAsia="標楷體" w:hAnsi="標楷體" w:cs="新細明體"/>
          <w:kern w:val="0"/>
          <w:sz w:val="28"/>
          <w:szCs w:val="28"/>
          <w14:ligatures w14:val="none"/>
        </w:rPr>
        <w:lastRenderedPageBreak/>
        <w:t>的停車場設置獎助金（例如台中市每格補助 3,000 元，單一設施最高 60 萬元；台南市每格補助 3,000 元，單一案場最高可達 300 萬元</w:t>
      </w:r>
      <w:proofErr w:type="gramStart"/>
      <w:r w:rsidRPr="007A0D08">
        <w:rPr>
          <w:rFonts w:ascii="標楷體" w:eastAsia="標楷體" w:hAnsi="標楷體" w:cs="新細明體"/>
          <w:kern w:val="0"/>
          <w:sz w:val="28"/>
          <w:szCs w:val="28"/>
          <w14:ligatures w14:val="none"/>
        </w:rPr>
        <w:t>）</w:t>
      </w:r>
      <w:proofErr w:type="gramEnd"/>
      <w:r w:rsidRPr="007A0D08">
        <w:rPr>
          <w:rFonts w:ascii="標楷體" w:eastAsia="標楷體" w:hAnsi="標楷體" w:cs="新細明體"/>
          <w:kern w:val="0"/>
          <w:sz w:val="28"/>
          <w:szCs w:val="28"/>
          <w14:ligatures w14:val="none"/>
        </w:rPr>
        <w:t>，配合遠低於市價的「申報地價」課稅基礎，以極低成本靜待土地增值。</w:t>
      </w:r>
    </w:p>
    <w:p w14:paraId="309FC70A"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《平均地權條例》第 26 條空地稅機制長期難以發揮功效的政治癥結，在於法律規定須由地方縣市長主動**「劃定區域」</w:t>
      </w:r>
      <w:r w:rsidRPr="007A0D08">
        <w:rPr>
          <w:rFonts w:ascii="標楷體" w:eastAsia="標楷體" w:hAnsi="標楷體" w:cs="新細明體"/>
          <w:b/>
          <w:bCs/>
          <w:kern w:val="0"/>
          <w:sz w:val="28"/>
          <w:szCs w:val="28"/>
          <w14:ligatures w14:val="none"/>
        </w:rPr>
        <w:t>並</w:t>
      </w:r>
      <w:r w:rsidRPr="007A0D08">
        <w:rPr>
          <w:rFonts w:ascii="標楷體" w:eastAsia="標楷體" w:hAnsi="標楷體" w:cs="新細明體"/>
          <w:kern w:val="0"/>
          <w:sz w:val="28"/>
          <w:szCs w:val="28"/>
          <w14:ligatures w14:val="none"/>
        </w:rPr>
        <w:t>「限期建築」**，地方首長在面對在地建商與地主壓力下，極少主動執行此一政治敏感步驟。</w:t>
      </w:r>
    </w:p>
    <w:p w14:paraId="7CA3A9B7"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為防堵養地漏洞，台灣應推動中央金融、租稅與法規端的綜合改革：</w:t>
      </w:r>
    </w:p>
    <w:p w14:paraId="2DB2BE94" w14:textId="77777777" w:rsidR="007A0D08" w:rsidRPr="007A0D08" w:rsidRDefault="007A0D08" w:rsidP="007A0D08">
      <w:pPr>
        <w:widowControl/>
        <w:numPr>
          <w:ilvl w:val="0"/>
          <w:numId w:val="7"/>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金融管制端（中央銀行）</w:t>
      </w:r>
      <w:r w:rsidRPr="007A0D08">
        <w:rPr>
          <w:rFonts w:ascii="標楷體" w:eastAsia="標楷體" w:hAnsi="標楷體" w:cs="新細明體"/>
          <w:kern w:val="0"/>
          <w:sz w:val="28"/>
          <w:szCs w:val="28"/>
          <w14:ligatures w14:val="none"/>
        </w:rPr>
        <w:t>：</w:t>
      </w:r>
    </w:p>
    <w:p w14:paraId="3D45F93A" w14:textId="77777777" w:rsidR="007A0D08" w:rsidRPr="007A0D08" w:rsidRDefault="007A0D08" w:rsidP="007A0D08">
      <w:pPr>
        <w:widowControl/>
        <w:numPr>
          <w:ilvl w:val="1"/>
          <w:numId w:val="7"/>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 xml:space="preserve">嚴格落實購地貸款管制（選擇性信用管制），要求建商取得購地貸款後，必須於 18 </w:t>
      </w:r>
      <w:proofErr w:type="gramStart"/>
      <w:r w:rsidRPr="007A0D08">
        <w:rPr>
          <w:rFonts w:ascii="標楷體" w:eastAsia="標楷體" w:hAnsi="標楷體" w:cs="新細明體"/>
          <w:kern w:val="0"/>
          <w:sz w:val="28"/>
          <w:szCs w:val="28"/>
          <w14:ligatures w14:val="none"/>
        </w:rPr>
        <w:t>個</w:t>
      </w:r>
      <w:proofErr w:type="gramEnd"/>
      <w:r w:rsidRPr="007A0D08">
        <w:rPr>
          <w:rFonts w:ascii="標楷體" w:eastAsia="標楷體" w:hAnsi="標楷體" w:cs="新細明體"/>
          <w:kern w:val="0"/>
          <w:sz w:val="28"/>
          <w:szCs w:val="28"/>
          <w14:ligatures w14:val="none"/>
        </w:rPr>
        <w:t>月內開工興建。</w:t>
      </w:r>
    </w:p>
    <w:p w14:paraId="4076E828" w14:textId="77777777" w:rsidR="007A0D08" w:rsidRPr="007A0D08" w:rsidRDefault="007A0D08" w:rsidP="007A0D08">
      <w:pPr>
        <w:widowControl/>
        <w:numPr>
          <w:ilvl w:val="1"/>
          <w:numId w:val="7"/>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若逾期未動工，金融機構應立即按比例收回部分貸款金額，並逐年調高貸款利率，切斷建商低成本養地的資金鏈。</w:t>
      </w:r>
    </w:p>
    <w:p w14:paraId="2CB52850" w14:textId="77777777" w:rsidR="007A0D08" w:rsidRPr="007A0D08" w:rsidRDefault="007A0D08" w:rsidP="007A0D08">
      <w:pPr>
        <w:widowControl/>
        <w:numPr>
          <w:ilvl w:val="0"/>
          <w:numId w:val="7"/>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t>租稅與法規端（財政部、內政部與地方政府）</w:t>
      </w:r>
      <w:r w:rsidRPr="007A0D08">
        <w:rPr>
          <w:rFonts w:ascii="標楷體" w:eastAsia="標楷體" w:hAnsi="標楷體" w:cs="新細明體"/>
          <w:kern w:val="0"/>
          <w:sz w:val="28"/>
          <w:szCs w:val="28"/>
          <w14:ligatures w14:val="none"/>
        </w:rPr>
        <w:t>：</w:t>
      </w:r>
    </w:p>
    <w:p w14:paraId="53F9F2E0" w14:textId="77777777" w:rsidR="007A0D08" w:rsidRPr="007A0D08" w:rsidRDefault="007A0D08" w:rsidP="007A0D08">
      <w:pPr>
        <w:widowControl/>
        <w:numPr>
          <w:ilvl w:val="1"/>
          <w:numId w:val="7"/>
        </w:numPr>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b/>
          <w:bCs/>
          <w:kern w:val="0"/>
          <w:sz w:val="28"/>
          <w:szCs w:val="28"/>
          <w14:ligatures w14:val="none"/>
        </w:rPr>
        <w:lastRenderedPageBreak/>
        <w:t>引進強制限期開發機制</w:t>
      </w:r>
      <w:r w:rsidRPr="007A0D08">
        <w:rPr>
          <w:rFonts w:ascii="標楷體" w:eastAsia="標楷體" w:hAnsi="標楷體" w:cs="新細明體"/>
          <w:kern w:val="0"/>
          <w:sz w:val="28"/>
          <w:szCs w:val="28"/>
          <w14:ligatures w14:val="none"/>
        </w:rPr>
        <w:t>：借</w:t>
      </w:r>
      <w:proofErr w:type="gramStart"/>
      <w:r w:rsidRPr="007A0D08">
        <w:rPr>
          <w:rFonts w:ascii="標楷體" w:eastAsia="標楷體" w:hAnsi="標楷體" w:cs="新細明體"/>
          <w:kern w:val="0"/>
          <w:sz w:val="28"/>
          <w:szCs w:val="28"/>
          <w14:ligatures w14:val="none"/>
        </w:rPr>
        <w:t>鑑</w:t>
      </w:r>
      <w:proofErr w:type="gramEnd"/>
      <w:r w:rsidRPr="007A0D08">
        <w:rPr>
          <w:rFonts w:ascii="標楷體" w:eastAsia="標楷體" w:hAnsi="標楷體" w:cs="新細明體"/>
          <w:kern w:val="0"/>
          <w:sz w:val="28"/>
          <w:szCs w:val="28"/>
          <w14:ligatures w14:val="none"/>
        </w:rPr>
        <w:t>新加坡機制，於土地標售或重劃分發時設立完工期限，逾期未開發者按土地總價逐年處以高額違約罰款，</w:t>
      </w:r>
      <w:proofErr w:type="gramStart"/>
      <w:r w:rsidRPr="007A0D08">
        <w:rPr>
          <w:rFonts w:ascii="標楷體" w:eastAsia="標楷體" w:hAnsi="標楷體" w:cs="新細明體"/>
          <w:kern w:val="0"/>
          <w:sz w:val="28"/>
          <w:szCs w:val="28"/>
          <w14:ligatures w14:val="none"/>
        </w:rPr>
        <w:t>逼迫囤地財團</w:t>
      </w:r>
      <w:proofErr w:type="gramEnd"/>
      <w:r w:rsidRPr="007A0D08">
        <w:rPr>
          <w:rFonts w:ascii="標楷體" w:eastAsia="標楷體" w:hAnsi="標楷體" w:cs="新細明體"/>
          <w:kern w:val="0"/>
          <w:sz w:val="28"/>
          <w:szCs w:val="28"/>
          <w14:ligatures w14:val="none"/>
        </w:rPr>
        <w:t>釋出土地或加速開發。</w:t>
      </w:r>
    </w:p>
    <w:p w14:paraId="36E74AF3" w14:textId="77777777" w:rsidR="007A0D08" w:rsidRPr="007A0D08" w:rsidRDefault="007A0D08" w:rsidP="007A0D08">
      <w:pPr>
        <w:widowControl/>
        <w:spacing w:before="100" w:beforeAutospacing="1" w:after="100" w:afterAutospacing="1" w:line="240" w:lineRule="auto"/>
        <w:outlineLvl w:val="2"/>
        <w:rPr>
          <w:rFonts w:ascii="標楷體" w:eastAsia="標楷體" w:hAnsi="標楷體" w:cs="新細明體"/>
          <w:b/>
          <w:bCs/>
          <w:kern w:val="0"/>
          <w:sz w:val="28"/>
          <w:szCs w:val="28"/>
          <w14:ligatures w14:val="none"/>
        </w:rPr>
      </w:pPr>
      <w:r w:rsidRPr="007A0D08">
        <w:rPr>
          <w:rFonts w:ascii="標楷體" w:eastAsia="標楷體" w:hAnsi="標楷體" w:cs="新細明體"/>
          <w:b/>
          <w:bCs/>
          <w:kern w:val="0"/>
          <w:sz w:val="28"/>
          <w:szCs w:val="28"/>
          <w14:ligatures w14:val="none"/>
        </w:rPr>
        <w:t>5. 結論：從城市建設到制度能力的轉化</w:t>
      </w:r>
    </w:p>
    <w:p w14:paraId="6233225E"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新加坡城市治理的成功，核心不在於打造了多少地標建築或亮麗的水泥工程，而是在於其具備**「跨部門整合與長期持續執行的制度能力」**。</w:t>
      </w:r>
    </w:p>
    <w:p w14:paraId="5EBA6509"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台灣借</w:t>
      </w:r>
      <w:proofErr w:type="gramStart"/>
      <w:r w:rsidRPr="007A0D08">
        <w:rPr>
          <w:rFonts w:ascii="標楷體" w:eastAsia="標楷體" w:hAnsi="標楷體" w:cs="新細明體"/>
          <w:kern w:val="0"/>
          <w:sz w:val="28"/>
          <w:szCs w:val="28"/>
          <w14:ligatures w14:val="none"/>
        </w:rPr>
        <w:t>鑑</w:t>
      </w:r>
      <w:proofErr w:type="gramEnd"/>
      <w:r w:rsidRPr="007A0D08">
        <w:rPr>
          <w:rFonts w:ascii="標楷體" w:eastAsia="標楷體" w:hAnsi="標楷體" w:cs="新細明體"/>
          <w:kern w:val="0"/>
          <w:sz w:val="28"/>
          <w:szCs w:val="28"/>
          <w14:ligatures w14:val="none"/>
        </w:rPr>
        <w:t>新加坡經驗，絕非全盤</w:t>
      </w:r>
      <w:proofErr w:type="gramStart"/>
      <w:r w:rsidRPr="007A0D08">
        <w:rPr>
          <w:rFonts w:ascii="標楷體" w:eastAsia="標楷體" w:hAnsi="標楷體" w:cs="新細明體"/>
          <w:kern w:val="0"/>
          <w:sz w:val="28"/>
          <w:szCs w:val="28"/>
          <w14:ligatures w14:val="none"/>
        </w:rPr>
        <w:t>照搬其由上而下</w:t>
      </w:r>
      <w:proofErr w:type="gramEnd"/>
      <w:r w:rsidRPr="007A0D08">
        <w:rPr>
          <w:rFonts w:ascii="標楷體" w:eastAsia="標楷體" w:hAnsi="標楷體" w:cs="新細明體"/>
          <w:kern w:val="0"/>
          <w:sz w:val="28"/>
          <w:szCs w:val="28"/>
          <w14:ligatures w14:val="none"/>
        </w:rPr>
        <w:t>的集中管束或高壓土地徵收模式，而是必須將其「居住與交通縫合」、「人本過濾過路性」及「智慧</w:t>
      </w:r>
      <w:proofErr w:type="gramStart"/>
      <w:r w:rsidRPr="007A0D08">
        <w:rPr>
          <w:rFonts w:ascii="標楷體" w:eastAsia="標楷體" w:hAnsi="標楷體" w:cs="新細明體"/>
          <w:kern w:val="0"/>
          <w:sz w:val="28"/>
          <w:szCs w:val="28"/>
          <w14:ligatures w14:val="none"/>
        </w:rPr>
        <w:t>前瞻布局</w:t>
      </w:r>
      <w:proofErr w:type="gramEnd"/>
      <w:r w:rsidRPr="007A0D08">
        <w:rPr>
          <w:rFonts w:ascii="標楷體" w:eastAsia="標楷體" w:hAnsi="標楷體" w:cs="新細明體"/>
          <w:kern w:val="0"/>
          <w:sz w:val="28"/>
          <w:szCs w:val="28"/>
          <w14:ligatures w14:val="none"/>
        </w:rPr>
        <w:t>」的思維，轉化為符合台灣民主參與、私有財產權保障及中央地方分權體制下的合作制度。</w:t>
      </w:r>
    </w:p>
    <w:p w14:paraId="2FC2F1E6" w14:textId="77777777" w:rsidR="007A0D08" w:rsidRPr="007A0D08" w:rsidRDefault="007A0D08" w:rsidP="007A0D08">
      <w:pPr>
        <w:widowControl/>
        <w:spacing w:before="100" w:beforeAutospacing="1" w:after="100" w:afterAutospacing="1" w:line="240" w:lineRule="auto"/>
        <w:rPr>
          <w:rFonts w:ascii="標楷體" w:eastAsia="標楷體" w:hAnsi="標楷體" w:cs="新細明體"/>
          <w:kern w:val="0"/>
          <w:sz w:val="28"/>
          <w:szCs w:val="28"/>
          <w14:ligatures w14:val="none"/>
        </w:rPr>
      </w:pPr>
      <w:r w:rsidRPr="007A0D08">
        <w:rPr>
          <w:rFonts w:ascii="標楷體" w:eastAsia="標楷體" w:hAnsi="標楷體" w:cs="新細明體"/>
          <w:kern w:val="0"/>
          <w:sz w:val="28"/>
          <w:szCs w:val="28"/>
          <w14:ligatures w14:val="none"/>
        </w:rPr>
        <w:t>從地方政府修改分區管制推動風雨走廊與 TOD 社會住宅，到中央與金融機構攜手打擊建商養地，台灣應以務實、彈性的態度</w:t>
      </w:r>
      <w:proofErr w:type="gramStart"/>
      <w:r w:rsidRPr="007A0D08">
        <w:rPr>
          <w:rFonts w:ascii="標楷體" w:eastAsia="標楷體" w:hAnsi="標楷體" w:cs="新細明體"/>
          <w:kern w:val="0"/>
          <w:sz w:val="28"/>
          <w:szCs w:val="28"/>
          <w14:ligatures w14:val="none"/>
        </w:rPr>
        <w:t>小步快</w:t>
      </w:r>
      <w:proofErr w:type="gramEnd"/>
      <w:r w:rsidRPr="007A0D08">
        <w:rPr>
          <w:rFonts w:ascii="標楷體" w:eastAsia="標楷體" w:hAnsi="標楷體" w:cs="新細明體"/>
          <w:kern w:val="0"/>
          <w:sz w:val="28"/>
          <w:szCs w:val="28"/>
          <w14:ligatures w14:val="none"/>
        </w:rPr>
        <w:t>跑，將新加坡的治理智慧轉化為推動台灣人本與永續都市轉型的堅實動能。</w:t>
      </w:r>
    </w:p>
    <w:sectPr w:rsidR="007A0D08" w:rsidRPr="007A0D0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2D9"/>
    <w:multiLevelType w:val="multilevel"/>
    <w:tmpl w:val="B9C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E2E25"/>
    <w:multiLevelType w:val="multilevel"/>
    <w:tmpl w:val="FF723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06BA1"/>
    <w:multiLevelType w:val="multilevel"/>
    <w:tmpl w:val="B45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44C88"/>
    <w:multiLevelType w:val="multilevel"/>
    <w:tmpl w:val="626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94027"/>
    <w:multiLevelType w:val="multilevel"/>
    <w:tmpl w:val="AFAA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11AAE"/>
    <w:multiLevelType w:val="multilevel"/>
    <w:tmpl w:val="7C2C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6394E"/>
    <w:multiLevelType w:val="multilevel"/>
    <w:tmpl w:val="2AB6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873254">
    <w:abstractNumId w:val="2"/>
  </w:num>
  <w:num w:numId="2" w16cid:durableId="1329820745">
    <w:abstractNumId w:val="4"/>
  </w:num>
  <w:num w:numId="3" w16cid:durableId="674117795">
    <w:abstractNumId w:val="5"/>
  </w:num>
  <w:num w:numId="4" w16cid:durableId="1118135873">
    <w:abstractNumId w:val="6"/>
  </w:num>
  <w:num w:numId="5" w16cid:durableId="451482619">
    <w:abstractNumId w:val="0"/>
  </w:num>
  <w:num w:numId="6" w16cid:durableId="619649936">
    <w:abstractNumId w:val="3"/>
  </w:num>
  <w:num w:numId="7" w16cid:durableId="632753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08"/>
    <w:rsid w:val="000A76EB"/>
    <w:rsid w:val="0020116E"/>
    <w:rsid w:val="005B0C4F"/>
    <w:rsid w:val="006629B2"/>
    <w:rsid w:val="007A0D08"/>
    <w:rsid w:val="008154FF"/>
    <w:rsid w:val="00F418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BDDE9"/>
  <w15:chartTrackingRefBased/>
  <w15:docId w15:val="{874576AD-C202-4EEB-AFF9-5714E7DF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0D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0D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0D0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A0D0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A0D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0D0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A0D0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0D0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A0D0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A0D0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A0D0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A0D0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A0D0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A0D08"/>
    <w:rPr>
      <w:rFonts w:eastAsiaTheme="majorEastAsia" w:cstheme="majorBidi"/>
      <w:color w:val="0F4761" w:themeColor="accent1" w:themeShade="BF"/>
    </w:rPr>
  </w:style>
  <w:style w:type="character" w:customStyle="1" w:styleId="60">
    <w:name w:val="標題 6 字元"/>
    <w:basedOn w:val="a0"/>
    <w:link w:val="6"/>
    <w:uiPriority w:val="9"/>
    <w:semiHidden/>
    <w:rsid w:val="007A0D08"/>
    <w:rPr>
      <w:rFonts w:eastAsiaTheme="majorEastAsia" w:cstheme="majorBidi"/>
      <w:color w:val="595959" w:themeColor="text1" w:themeTint="A6"/>
    </w:rPr>
  </w:style>
  <w:style w:type="character" w:customStyle="1" w:styleId="70">
    <w:name w:val="標題 7 字元"/>
    <w:basedOn w:val="a0"/>
    <w:link w:val="7"/>
    <w:uiPriority w:val="9"/>
    <w:semiHidden/>
    <w:rsid w:val="007A0D08"/>
    <w:rPr>
      <w:rFonts w:eastAsiaTheme="majorEastAsia" w:cstheme="majorBidi"/>
      <w:color w:val="595959" w:themeColor="text1" w:themeTint="A6"/>
    </w:rPr>
  </w:style>
  <w:style w:type="character" w:customStyle="1" w:styleId="80">
    <w:name w:val="標題 8 字元"/>
    <w:basedOn w:val="a0"/>
    <w:link w:val="8"/>
    <w:uiPriority w:val="9"/>
    <w:semiHidden/>
    <w:rsid w:val="007A0D08"/>
    <w:rPr>
      <w:rFonts w:eastAsiaTheme="majorEastAsia" w:cstheme="majorBidi"/>
      <w:color w:val="272727" w:themeColor="text1" w:themeTint="D8"/>
    </w:rPr>
  </w:style>
  <w:style w:type="character" w:customStyle="1" w:styleId="90">
    <w:name w:val="標題 9 字元"/>
    <w:basedOn w:val="a0"/>
    <w:link w:val="9"/>
    <w:uiPriority w:val="9"/>
    <w:semiHidden/>
    <w:rsid w:val="007A0D08"/>
    <w:rPr>
      <w:rFonts w:eastAsiaTheme="majorEastAsia" w:cstheme="majorBidi"/>
      <w:color w:val="272727" w:themeColor="text1" w:themeTint="D8"/>
    </w:rPr>
  </w:style>
  <w:style w:type="paragraph" w:styleId="a3">
    <w:name w:val="Title"/>
    <w:basedOn w:val="a"/>
    <w:next w:val="a"/>
    <w:link w:val="a4"/>
    <w:uiPriority w:val="10"/>
    <w:qFormat/>
    <w:rsid w:val="007A0D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A0D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0D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A0D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0D08"/>
    <w:pPr>
      <w:spacing w:before="160"/>
      <w:jc w:val="center"/>
    </w:pPr>
    <w:rPr>
      <w:i/>
      <w:iCs/>
      <w:color w:val="404040" w:themeColor="text1" w:themeTint="BF"/>
    </w:rPr>
  </w:style>
  <w:style w:type="character" w:customStyle="1" w:styleId="a8">
    <w:name w:val="引文 字元"/>
    <w:basedOn w:val="a0"/>
    <w:link w:val="a7"/>
    <w:uiPriority w:val="29"/>
    <w:rsid w:val="007A0D08"/>
    <w:rPr>
      <w:i/>
      <w:iCs/>
      <w:color w:val="404040" w:themeColor="text1" w:themeTint="BF"/>
    </w:rPr>
  </w:style>
  <w:style w:type="paragraph" w:styleId="a9">
    <w:name w:val="List Paragraph"/>
    <w:basedOn w:val="a"/>
    <w:uiPriority w:val="34"/>
    <w:qFormat/>
    <w:rsid w:val="007A0D08"/>
    <w:pPr>
      <w:ind w:left="720"/>
      <w:contextualSpacing/>
    </w:pPr>
  </w:style>
  <w:style w:type="character" w:styleId="aa">
    <w:name w:val="Intense Emphasis"/>
    <w:basedOn w:val="a0"/>
    <w:uiPriority w:val="21"/>
    <w:qFormat/>
    <w:rsid w:val="007A0D08"/>
    <w:rPr>
      <w:i/>
      <w:iCs/>
      <w:color w:val="0F4761" w:themeColor="accent1" w:themeShade="BF"/>
    </w:rPr>
  </w:style>
  <w:style w:type="paragraph" w:styleId="ab">
    <w:name w:val="Intense Quote"/>
    <w:basedOn w:val="a"/>
    <w:next w:val="a"/>
    <w:link w:val="ac"/>
    <w:uiPriority w:val="30"/>
    <w:qFormat/>
    <w:rsid w:val="007A0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A0D08"/>
    <w:rPr>
      <w:i/>
      <w:iCs/>
      <w:color w:val="0F4761" w:themeColor="accent1" w:themeShade="BF"/>
    </w:rPr>
  </w:style>
  <w:style w:type="character" w:styleId="ad">
    <w:name w:val="Intense Reference"/>
    <w:basedOn w:val="a0"/>
    <w:uiPriority w:val="32"/>
    <w:qFormat/>
    <w:rsid w:val="007A0D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Alice</dc:creator>
  <cp:keywords/>
  <dc:description/>
  <cp:lastModifiedBy>Huang Alice</cp:lastModifiedBy>
  <cp:revision>2</cp:revision>
  <dcterms:created xsi:type="dcterms:W3CDTF">2026-10-11T03:03:00Z</dcterms:created>
  <dcterms:modified xsi:type="dcterms:W3CDTF">2026-10-22T02:21:00Z</dcterms:modified>
</cp:coreProperties>
</file>