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Authors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closed-session-report-summary"/>
    <w:p>
      <w:pPr>
        <w:pStyle w:val="Heading1"/>
      </w:pPr>
      <w:r>
        <w:t xml:space="preserve">Closed Session Report Summary</w:t>
      </w:r>
    </w:p>
    <w:p>
      <w:pPr>
        <w:pStyle w:val="FirstParagraph"/>
      </w:pPr>
      <w:r>
        <w:t xml:space="preserve">Please write a closed report summary</w:t>
      </w:r>
    </w:p>
    <w:p>
      <w:r>
        <w:br w:type="page"/>
      </w:r>
    </w:p>
    <w:bookmarkEnd w:id="20"/>
    <w:bookmarkStart w:id="30" w:name="X4b8f993536677628bee3217381ff42af5b4a926"/>
    <w:p>
      <w:pPr>
        <w:pStyle w:val="Heading1"/>
      </w:pPr>
      <w:r>
        <w:t xml:space="preserve">Recruitment and Participant Status: Figure and Tables</w:t>
      </w:r>
    </w:p>
    <w:p>
      <w:r>
        <w:br w:type="page"/>
      </w:r>
    </w:p>
    <w:bookmarkStart w:id="24" w:name="figure-1a-screening-consort-diagram"/>
    <w:p>
      <w:pPr>
        <w:pStyle w:val="Heading2"/>
      </w:pPr>
      <w:r>
        <w:t xml:space="preserve">Figure 1a: Screening Consort Diagram</w:t>
      </w:r>
    </w:p>
    <w:p>
      <w:pPr>
        <w:pStyle w:val="FirstParagraph"/>
      </w:pPr>
      <w:r>
        <w:t xml:space="preserve">Date as of: May 22, 2024</w:t>
      </w:r>
    </w:p>
    <w:p>
      <w:pPr>
        <w:pStyle w:val="BodyText"/>
      </w:pPr>
      <w:r>
        <w:drawing>
          <wp:inline>
            <wp:extent cx="5943600" cy="3962400"/>
            <wp:effectExtent b="0" l="0" r="0" t="0"/>
            <wp:docPr descr="" title="" id="22" name="Picture"/>
            <a:graphic>
              <a:graphicData uri="http://schemas.openxmlformats.org/drawingml/2006/picture">
                <pic:pic>
                  <pic:nvPicPr>
                    <pic:cNvPr descr="screening_consort.jpg" id="23" name="Picture"/>
                    <pic:cNvPicPr>
                      <a:picLocks noChangeArrowheads="1" noChangeAspect="1"/>
                    </pic:cNvPicPr>
                  </pic:nvPicPr>
                  <pic:blipFill>
                    <a:blip r:embed="rId21"/>
                    <a:stretch>
                      <a:fillRect/>
                    </a:stretch>
                  </pic:blipFill>
                  <pic:spPr bwMode="auto">
                    <a:xfrm>
                      <a:off x="0" y="0"/>
                      <a:ext cx="5943600" cy="3962400"/>
                    </a:xfrm>
                    <a:prstGeom prst="rect">
                      <a:avLst/>
                    </a:prstGeom>
                    <a:noFill/>
                    <a:ln w="9525">
                      <a:noFill/>
                      <a:headEnd/>
                      <a:tailEnd/>
                    </a:ln>
                  </pic:spPr>
                </pic:pic>
              </a:graphicData>
            </a:graphic>
          </wp:inline>
        </w:drawing>
      </w:r>
    </w:p>
    <w:p>
      <w:r>
        <w:br w:type="page"/>
      </w:r>
    </w:p>
    <w:bookmarkEnd w:id="24"/>
    <w:bookmarkStart w:id="28" w:name="figure-1b-enrollment-consort-diagram"/>
    <w:p>
      <w:pPr>
        <w:pStyle w:val="Heading2"/>
      </w:pPr>
      <w:r>
        <w:t xml:space="preserve">Figure 1b: Enrollment Consort Diagram</w:t>
      </w:r>
    </w:p>
    <w:p>
      <w:pPr>
        <w:pStyle w:val="FirstParagraph"/>
      </w:pPr>
      <w:r>
        <w:t xml:space="preserve">Date as of: May 22, 2024</w:t>
      </w:r>
    </w:p>
    <w:p>
      <w:pPr>
        <w:pStyle w:val="BodyText"/>
      </w:pPr>
      <w:r>
        <w:drawing>
          <wp:inline>
            <wp:extent cx="5943600" cy="3962400"/>
            <wp:effectExtent b="0" l="0" r="0" t="0"/>
            <wp:docPr descr="" title="" id="26" name="Picture"/>
            <a:graphic>
              <a:graphicData uri="http://schemas.openxmlformats.org/drawingml/2006/picture">
                <pic:pic>
                  <pic:nvPicPr>
                    <pic:cNvPr descr="enrollment_consort_closed.jpg" id="27" name="Picture"/>
                    <pic:cNvPicPr>
                      <a:picLocks noChangeArrowheads="1" noChangeAspect="1"/>
                    </pic:cNvPicPr>
                  </pic:nvPicPr>
                  <pic:blipFill>
                    <a:blip r:embed="rId25"/>
                    <a:stretch>
                      <a:fillRect/>
                    </a:stretch>
                  </pic:blipFill>
                  <pic:spPr bwMode="auto">
                    <a:xfrm>
                      <a:off x="0" y="0"/>
                      <a:ext cx="5943600" cy="3962400"/>
                    </a:xfrm>
                    <a:prstGeom prst="rect">
                      <a:avLst/>
                    </a:prstGeom>
                    <a:noFill/>
                    <a:ln w="9525">
                      <a:noFill/>
                      <a:headEnd/>
                      <a:tailEnd/>
                    </a:ln>
                  </pic:spPr>
                </pic:pic>
              </a:graphicData>
            </a:graphic>
          </wp:inline>
        </w:drawing>
      </w:r>
    </w:p>
    <w:p>
      <w:r>
        <w:br w:type="page"/>
      </w:r>
    </w:p>
    <w:bookmarkEnd w:id="28"/>
    <w:bookmarkStart w:id="29" w:name="X323390b11626edbe1097a16de6acbe7c26f0588"/>
    <w:p>
      <w:pPr>
        <w:pStyle w:val="Heading2"/>
      </w:pPr>
      <w:r>
        <w:t xml:space="preserve">Table 3: Demographic and Key Baseline Characteristics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Control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 Loss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Updates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Report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Fisher's exact test; One-way ANOVA</w:t>
            </w:r>
          </w:p>
        </w:tc>
      </w:tr>
      <w:tr>
        <w:trPr>
          <w:trHeight w:val="360" w:hRule="auto"/>
        </w:trPr>
        footer 3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p-values were calculated using Fisher’s exact test for categorical variables (Race, Ethnicity, sex and Rural) and a one-way ANOVA for continuous variables. </w:t>
            </w:r>
          </w:p>
        </w:tc>
      </w:tr>
    </w:tbl>
    <w:p>
      <w:r>
        <w:br w:type="page"/>
      </w:r>
    </w:p>
    <w:bookmarkEnd w:id="29"/>
    <w:bookmarkEnd w:id="30"/>
    <w:bookmarkStart w:id="43" w:name="X220af7d1f692e025771bc4f6ab43c130de0ec2b"/>
    <w:p>
      <w:pPr>
        <w:pStyle w:val="Heading1"/>
      </w:pPr>
      <w:r>
        <w:t xml:space="preserve">Safety Assessments for All Participants: Tables and Listing</w:t>
      </w:r>
    </w:p>
    <w:bookmarkStart w:id="31" w:name="ctcae-5.0-criteria"/>
    <w:p>
      <w:pPr>
        <w:pStyle w:val="Heading2"/>
      </w:pPr>
      <w:r>
        <w:t xml:space="preserve">CTCAE 5.0 Criteria</w:t>
      </w:r>
    </w:p>
    <w:p>
      <w:pPr>
        <w:pStyle w:val="FirstParagraph"/>
      </w:pPr>
      <w:r>
        <w:rPr>
          <w:bCs/>
          <w:b/>
        </w:rPr>
        <w:t xml:space="preserve">Grades</w:t>
      </w:r>
    </w:p>
    <w:p>
      <w:pPr>
        <w:pStyle w:val="BodyText"/>
      </w:pPr>
      <w:r>
        <w:t xml:space="preserve">Grade refers to the severity of the AE. The CTCAE displays Grades 1 through 5 with unique clinical descriptions of severity for each AE based on this general guideline:</w:t>
      </w:r>
    </w:p>
    <w:p>
      <w:pPr>
        <w:numPr>
          <w:ilvl w:val="0"/>
          <w:numId w:val="1001"/>
        </w:numPr>
      </w:pPr>
      <w:r>
        <w:rPr>
          <w:bCs/>
          <w:b/>
        </w:rPr>
        <w:t xml:space="preserve">Grade 1</w:t>
      </w:r>
      <w:r>
        <w:t xml:space="preserve"> </w:t>
      </w:r>
      <w:r>
        <w:t xml:space="preserve">Mild; asymptomatic or mild symptoms; clinical or diagnostic observations only; intervention not indicated.</w:t>
      </w:r>
    </w:p>
    <w:p>
      <w:pPr>
        <w:numPr>
          <w:ilvl w:val="0"/>
          <w:numId w:val="1001"/>
        </w:numPr>
      </w:pPr>
      <w:r>
        <w:rPr>
          <w:bCs/>
          <w:b/>
        </w:rPr>
        <w:t xml:space="preserve">Grade 2</w:t>
      </w:r>
      <w:r>
        <w:t xml:space="preserve"> </w:t>
      </w:r>
      <w:r>
        <w:t xml:space="preserve">Moderate; minimal, local or noninvasive intervention indicated; limiting age-appropriate instrumental ADL*.</w:t>
      </w:r>
    </w:p>
    <w:p>
      <w:pPr>
        <w:numPr>
          <w:ilvl w:val="0"/>
          <w:numId w:val="1001"/>
        </w:numPr>
      </w:pPr>
      <w:r>
        <w:rPr>
          <w:bCs/>
          <w:b/>
        </w:rPr>
        <w:t xml:space="preserve">Grade 3</w:t>
      </w:r>
      <w:r>
        <w:t xml:space="preserve"> </w:t>
      </w:r>
      <w:r>
        <w:t xml:space="preserve">Severe or medically significant but not immediately life-threatening; hospitalization or prolongation of hospitalization indicated; disabling; limiting self care ADL**.</w:t>
      </w:r>
    </w:p>
    <w:p>
      <w:pPr>
        <w:numPr>
          <w:ilvl w:val="0"/>
          <w:numId w:val="1001"/>
        </w:numPr>
      </w:pPr>
      <w:r>
        <w:rPr>
          <w:bCs/>
          <w:b/>
        </w:rPr>
        <w:t xml:space="preserve">Grade 4</w:t>
      </w:r>
      <w:r>
        <w:t xml:space="preserve"> </w:t>
      </w:r>
      <w:r>
        <w:t xml:space="preserve">Life-threatening consequences; urgent intervention indicated.</w:t>
      </w:r>
    </w:p>
    <w:p>
      <w:pPr>
        <w:numPr>
          <w:ilvl w:val="0"/>
          <w:numId w:val="1001"/>
        </w:numPr>
      </w:pPr>
      <w:r>
        <w:rPr>
          <w:bCs/>
          <w:b/>
        </w:rPr>
        <w:t xml:space="preserve">Grade 5</w:t>
      </w:r>
      <w:r>
        <w:t xml:space="preserve"> </w:t>
      </w:r>
      <w:r>
        <w:t xml:space="preserve">Death related to AE.</w:t>
      </w:r>
    </w:p>
    <w:p>
      <w:pPr>
        <w:pStyle w:val="FirstParagraph"/>
      </w:pPr>
      <w:r>
        <w:rPr>
          <w:bCs/>
          <w:b/>
        </w:rPr>
        <w:t xml:space="preserve">Relatedness</w:t>
      </w:r>
    </w:p>
    <w:p>
      <w:pPr>
        <w:pStyle w:val="BodyText"/>
      </w:pPr>
      <w:r>
        <w:t xml:space="preserve">Relatedness refers to the relationship of the AE to the intervention. COMET rates relatedness from not related to definitely related.</w:t>
      </w:r>
    </w:p>
    <w:p>
      <w:pPr>
        <w:numPr>
          <w:ilvl w:val="0"/>
          <w:numId w:val="1002"/>
        </w:numPr>
      </w:pPr>
      <w:r>
        <w:rPr>
          <w:bCs/>
          <w:b/>
        </w:rPr>
        <w:t xml:space="preserve">Not Related</w:t>
      </w:r>
      <w:r>
        <w:t xml:space="preserve"> </w:t>
      </w:r>
      <w:r>
        <w:t xml:space="preserve">The AE is clearly NOT related to the intervention</w:t>
      </w:r>
    </w:p>
    <w:p>
      <w:pPr>
        <w:numPr>
          <w:ilvl w:val="0"/>
          <w:numId w:val="1002"/>
        </w:numPr>
      </w:pPr>
      <w:r>
        <w:rPr>
          <w:bCs/>
          <w:b/>
        </w:rPr>
        <w:t xml:space="preserve">Possibly Related</w:t>
      </w:r>
      <w:r>
        <w:t xml:space="preserve"> </w:t>
      </w:r>
      <w:r>
        <w:t xml:space="preserve">The AE may be related to the intervention</w:t>
      </w:r>
    </w:p>
    <w:p>
      <w:pPr>
        <w:numPr>
          <w:ilvl w:val="0"/>
          <w:numId w:val="1002"/>
        </w:numPr>
      </w:pPr>
      <w:r>
        <w:rPr>
          <w:bCs/>
          <w:b/>
        </w:rPr>
        <w:t xml:space="preserve">Definitely Related</w:t>
      </w:r>
      <w:r>
        <w:t xml:space="preserve"> </w:t>
      </w:r>
      <w:r>
        <w:t xml:space="preserve">The AE is clearly related to the intervention</w:t>
      </w:r>
    </w:p>
    <w:p>
      <w:pPr>
        <w:pStyle w:val="FirstParagraph"/>
      </w:pPr>
      <w:r>
        <w:rPr>
          <w:bCs/>
          <w:b/>
        </w:rPr>
        <w:t xml:space="preserve">Definitions</w:t>
      </w:r>
    </w:p>
    <w:p>
      <w:pPr>
        <w:numPr>
          <w:ilvl w:val="0"/>
          <w:numId w:val="1003"/>
        </w:numPr>
      </w:pPr>
      <w:r>
        <w:rPr>
          <w:bCs/>
          <w:b/>
        </w:rPr>
        <w:t xml:space="preserve">Adverse Event</w:t>
      </w:r>
      <w:r>
        <w:t xml:space="preserve"> </w:t>
      </w:r>
      <w:r>
        <w:t xml:space="preserve">Any untoward or unfavorable medical occurrence in a human subject participant, including any abnormal sign, symptom, or disease, temporally associated with the participants’ involvement in the research, whether or not considered related to participation in the research.</w:t>
      </w:r>
    </w:p>
    <w:p>
      <w:pPr>
        <w:numPr>
          <w:ilvl w:val="0"/>
          <w:numId w:val="1003"/>
        </w:numPr>
      </w:pPr>
      <w:r>
        <w:rPr>
          <w:bCs/>
          <w:b/>
        </w:rPr>
        <w:t xml:space="preserve">Event of Interest</w:t>
      </w:r>
      <w:r>
        <w:t xml:space="preserve"> </w:t>
      </w:r>
      <w:r>
        <w:t xml:space="preserve">Incidental findings or events uncovered during baseline testing not directly attributable to the study. It is often unclear if the event is new onset. Most are pre-existing and asymptomatic i.e., asymptomatic ST segment depression on a maximal exercise test.</w:t>
      </w:r>
    </w:p>
    <w:p>
      <w:pPr>
        <w:numPr>
          <w:ilvl w:val="0"/>
          <w:numId w:val="1003"/>
        </w:numPr>
      </w:pPr>
      <w:r>
        <w:rPr>
          <w:bCs/>
          <w:b/>
        </w:rPr>
        <w:t xml:space="preserve">System Organ Class (SOC)</w:t>
      </w:r>
      <w:r>
        <w:t xml:space="preserve"> </w:t>
      </w:r>
      <w:r>
        <w:t xml:space="preserve">The highest level of the MedDRA1 hierarchy, also referred to as System Organ Classe (SOC), is identified by anatomical or physiological system, etiology, or purpose (e.g., SOC Investigations for laboratory test results). CTCAE terms are grouped by MedDRA Primary SOCs. Within each SOC, AEs are listed and accompanied by descriptions of severity (Grade).</w:t>
      </w:r>
    </w:p>
    <w:p>
      <w:pPr>
        <w:numPr>
          <w:ilvl w:val="0"/>
          <w:numId w:val="1003"/>
        </w:numPr>
      </w:pPr>
      <w:r>
        <w:rPr>
          <w:bCs/>
          <w:b/>
        </w:rPr>
        <w:t xml:space="preserve">Preferred Term</w:t>
      </w:r>
      <w:r>
        <w:t xml:space="preserve"> </w:t>
      </w:r>
      <w:r>
        <w:t xml:space="preserve">A term that is a unique representation of a specific event used for medical documentation and scientific analyses. Each CTCAE v4.0 term is a MedDRA LLT (Lowest Level Term).</w:t>
      </w:r>
    </w:p>
    <w:p>
      <w:r>
        <w:br w:type="page"/>
      </w:r>
    </w:p>
    <w:bookmarkEnd w:id="31"/>
    <w:bookmarkStart w:id="32" w:name="table-7a-non-related-adverse-events"/>
    <w:p>
      <w:pPr>
        <w:pStyle w:val="Heading2"/>
      </w:pPr>
      <w:r>
        <w:t xml:space="preserve">Table 7a: Non-related Adverse Events</w:t>
      </w:r>
    </w:p>
    <w:p>
      <w:pPr>
        <w:pStyle w:val="FirstParagraph"/>
      </w:pPr>
      <w:r>
        <w:t xml:space="preserve">Date as of: May 22, 2024</w:t>
      </w:r>
    </w:p>
    <w:p>
      <w:pPr>
        <w:pStyle w:val="SourceCode"/>
      </w:pPr>
      <w:r>
        <w:rPr>
          <w:rStyle w:val="VerbatimChar"/>
        </w:rPr>
        <w:t xml:space="preserve">## [1] "There have been no non-related adverse events."</w:t>
      </w:r>
    </w:p>
    <w:p>
      <w:r>
        <w:br w:type="page"/>
      </w:r>
    </w:p>
    <w:bookmarkEnd w:id="32"/>
    <w:bookmarkStart w:id="33" w:name="table-7b-related-adverse-events"/>
    <w:p>
      <w:pPr>
        <w:pStyle w:val="Heading2"/>
      </w:pPr>
      <w:r>
        <w:t xml:space="preserve">Table 7b: Related Adverse Events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Control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 Loss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Cecal hemorrhage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Gallbladder obstruction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Ventricular arrhythmia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Updates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at Last Report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(60%)</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Report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(40%)</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bookmarkEnd w:id="33"/>
    <w:bookmarkStart w:id="34" w:name="X890605edd11952cb4e114b4322b0d9d487c04bd"/>
    <w:p>
      <w:pPr>
        <w:pStyle w:val="Heading2"/>
      </w:pPr>
      <w:r>
        <w:t xml:space="preserve">Table 7c: Non-related Serious Adverse Events</w:t>
      </w:r>
    </w:p>
    <w:p>
      <w:pPr>
        <w:pStyle w:val="FirstParagraph"/>
      </w:pPr>
      <w:r>
        <w:t xml:space="preserve">Date as of: May 22, 2024</w:t>
      </w:r>
    </w:p>
    <w:p>
      <w:pPr>
        <w:pStyle w:val="SourceCode"/>
      </w:pPr>
      <w:r>
        <w:rPr>
          <w:rStyle w:val="VerbatimChar"/>
        </w:rPr>
        <w:t xml:space="preserve">## [1] "There have been no non-related serious adverse events."</w:t>
      </w:r>
    </w:p>
    <w:p>
      <w:r>
        <w:br w:type="page"/>
      </w:r>
    </w:p>
    <w:bookmarkEnd w:id="34"/>
    <w:bookmarkStart w:id="35" w:name="table-7d-related-serious-adverse-events"/>
    <w:p>
      <w:pPr>
        <w:pStyle w:val="Heading2"/>
      </w:pPr>
      <w:r>
        <w:t xml:space="preserve">Table 7d: Related Serious Adverse Events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Control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 Loss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Cecal hemorrhage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Updates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at Last Report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(75%)</w:t>
            </w:r>
          </w:p>
        </w:tc>
      </w:tr>
      <w:tr>
        <w:trPr>
          <w:trHeight w:val="617"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Report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bookmarkEnd w:id="35"/>
    <w:bookmarkStart w:id="36" w:name="Xbcacc408413752e32e62ba660a4c656c3766732"/>
    <w:p>
      <w:pPr>
        <w:pStyle w:val="Heading2"/>
      </w:pPr>
      <w:r>
        <w:t xml:space="preserve">Table 8a: Severity of Adverse Events by Group</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6"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1; Mild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2; 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3; Severe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5; Death related to AE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that occurred in participants without an assigned group have been removed from tables sorting by group.</w:t>
            </w:r>
          </w:p>
        </w:tc>
      </w:tr>
    </w:tbl>
    <w:p>
      <w:r>
        <w:br w:type="page"/>
      </w:r>
    </w:p>
    <w:bookmarkEnd w:id="36"/>
    <w:bookmarkStart w:id="37" w:name="X8eef03541669c98243b8f729663a2762e93629d"/>
    <w:p>
      <w:pPr>
        <w:pStyle w:val="Heading2"/>
      </w:pPr>
      <w:r>
        <w:t xml:space="preserve">Table 9a: Relatedness of Adverse Events by Group</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Definitely 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Probably 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(43%)</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(57%)</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that occurred in participants without an assigned group have been removed from tables sorting by group.</w:t>
            </w:r>
          </w:p>
        </w:tc>
      </w:tr>
    </w:tbl>
    <w:p>
      <w:r>
        <w:br w:type="page"/>
      </w:r>
    </w:p>
    <w:bookmarkEnd w:id="37"/>
    <w:bookmarkStart w:id="38" w:name="listing-3a-serious-adverse-events"/>
    <w:p>
      <w:pPr>
        <w:pStyle w:val="Heading2"/>
      </w:pPr>
      <w:r>
        <w:t xml:space="preserve">Listing 3a: Serious Adverse Events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Broke knee at home on 12/15. Went to ER.</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Endocrine disorders - 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Infections and infestations - Cecal hemorrhage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w:t>
            </w:r>
          </w:p>
        </w:tc>
      </w:tr>
    </w:tbl>
    <w:p>
      <w:r>
        <w:br w:type="page"/>
      </w:r>
    </w:p>
    <w:bookmarkEnd w:id="38"/>
    <w:bookmarkStart w:id="39" w:name="listing-4-deaths"/>
    <w:p>
      <w:pPr>
        <w:pStyle w:val="Heading2"/>
      </w:pPr>
      <w:r>
        <w:t xml:space="preserve">Listing 4: Deaths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1768"/>
        <w:gridCol w:w="1939"/>
        <w:gridCol w:w="209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r>
      <w:tr>
        <w:trPr>
          <w:trHeight w:val="61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Scissors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r>
    </w:tbl>
    <w:p>
      <w:r>
        <w:br w:type="page"/>
      </w:r>
    </w:p>
    <w:bookmarkEnd w:id="39"/>
    <w:bookmarkStart w:id="40" w:name="X67cdf5c4763ff35caeb17e8c089f8bea47d7fd5"/>
    <w:p>
      <w:pPr>
        <w:pStyle w:val="Heading2"/>
      </w:pPr>
      <w:r>
        <w:t xml:space="preserve">Listing 5a: New Adverse Events Related to the Intervention</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Related to the Intervention Since Date of Last Report (2023-10-01)</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5; Death related to 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Nervous system disorders - Ventricular arrhythmia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Endocrine disorders - 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Skin and subcutaneous tissue disorders - Gallbladder obstruction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Scissors</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Infections and infestations - Cecal hemorrhage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w:t>
            </w:r>
          </w:p>
        </w:tc>
      </w:tr>
    </w:tbl>
    <w:p>
      <w:r>
        <w:br w:type="page"/>
      </w:r>
    </w:p>
    <w:bookmarkEnd w:id="40"/>
    <w:bookmarkStart w:id="41" w:name="X5cb40d5a762fd80ec434297be235ea8dc7313ac"/>
    <w:p>
      <w:pPr>
        <w:pStyle w:val="Heading2"/>
      </w:pPr>
      <w:r>
        <w:t xml:space="preserve">Listing 5b: New Adverse Events Not Related to Intervention</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Not Related to the Intervention Since Date of Last Report (2023-10-01)</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bl>
    <w:p>
      <w:r>
        <w:br w:type="page"/>
      </w:r>
    </w:p>
    <w:bookmarkEnd w:id="41"/>
    <w:bookmarkStart w:id="42" w:name="listing-6a-all-adverse-events"/>
    <w:p>
      <w:pPr>
        <w:pStyle w:val="Heading2"/>
      </w:pPr>
      <w:r>
        <w:t xml:space="preserve">Listing 6a: All Adverse Events</w:t>
      </w:r>
    </w:p>
    <w:p>
      <w:pPr>
        <w:pStyle w:val="FirstParagraph"/>
      </w:pPr>
      <w:r>
        <w:t xml:space="preserve">Date as of: May 22,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7"/>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Adverse Events</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Serious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Other, specify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Nervous system disorders - Ventricular arrhythmia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5; Death related to 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Infections and infestations - Cecal hemorrhage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 and labyrinth disorders - Other,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Recovered/Resolved</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Endocrine disorders - Muscle cramp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Recovering/Resolving</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 Loss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Skin and subcutaneous tissue disorders - Gallbladder obstruction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Recovering/Resolving</w:t>
            </w:r>
          </w:p>
        </w:tc>
      </w:tr>
    </w:tbl>
    <w:p>
      <w:r>
        <w:br w:type="page"/>
      </w:r>
    </w:p>
    <w:bookmarkEnd w:id="42"/>
    <w:bookmarkEnd w:id="43"/>
    <w:sectPr w:rsidR="001E1B04" w:rsidRPr="00DB79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8E2D2B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418A0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EA466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289BA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60C33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ED5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828D0B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370971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476A70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CD876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42260DA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03068"/>
    <w:rPr>
      <w:rFonts w:ascii="Arial" w:hAnsi="Arial"/>
      <w:sz w:val="22"/>
    </w:rPr>
  </w:style>
  <w:style w:styleId="Heading1" w:type="paragraph">
    <w:name w:val="heading 1"/>
    <w:basedOn w:val="Normal"/>
    <w:next w:val="BodyText"/>
    <w:uiPriority w:val="9"/>
    <w:qFormat/>
    <w:rsid w:val="00781430"/>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81430"/>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81430"/>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03068"/>
  </w:style>
  <w:style w:customStyle="1" w:styleId="Compact" w:type="paragraph">
    <w:name w:val="Compact"/>
    <w:basedOn w:val="BodyText"/>
    <w:qFormat/>
    <w:pPr>
      <w:spacing w:after="36" w:before="36"/>
    </w:pPr>
  </w:style>
  <w:style w:styleId="Title" w:type="paragraph">
    <w:name w:val="Title"/>
    <w:basedOn w:val="Normal"/>
    <w:next w:val="BodyText"/>
    <w:qFormat/>
    <w:rsid w:val="0078143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81430"/>
    <w:pPr>
      <w:keepNext/>
      <w:keepLines/>
      <w:jc w:val="center"/>
    </w:pPr>
    <w:rPr>
      <w:rFonts w:ascii="Arial" w:hAnsi="Arial"/>
    </w:rPr>
  </w:style>
  <w:style w:styleId="Date" w:type="paragraph">
    <w:name w:val="Date"/>
    <w:next w:val="BodyText"/>
    <w:qFormat/>
    <w:rsid w:val="00781430"/>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a"/>
    <w:basedOn w:val="CaptionChar"/>
    <w:uiPriority w:val="99"/>
    <w:rsid w:val="00781430"/>
    <w:rPr>
      <w:rFonts w:ascii="Arial" w:hAnsi="Arial"/>
      <w:color w:val="auto"/>
    </w:rPr>
  </w:style>
  <w:style w:styleId="TOCHeading" w:type="paragraph">
    <w:name w:val="TOC Heading"/>
    <w:basedOn w:val="Heading1"/>
    <w:next w:val="BodyText"/>
    <w:uiPriority w:val="39"/>
    <w:unhideWhenUsed/>
    <w:qFormat/>
    <w:rsid w:val="0078143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DB7981"/>
    <w:pPr>
      <w:spacing w:after="100"/>
    </w:pPr>
  </w:style>
  <w:style w:styleId="TOC2" w:type="paragraph">
    <w:name w:val="toc 2"/>
    <w:basedOn w:val="Normal"/>
    <w:next w:val="Normal"/>
    <w:autoRedefine/>
    <w:uiPriority w:val="39"/>
    <w:unhideWhenUsed/>
    <w:rsid w:val="00DB7981"/>
    <w:pPr>
      <w:spacing w:after="100"/>
      <w:ind w:left="240"/>
    </w:pPr>
  </w:style>
  <w:style w:styleId="TOC3" w:type="paragraph">
    <w:name w:val="toc 3"/>
    <w:basedOn w:val="Normal"/>
    <w:next w:val="Normal"/>
    <w:autoRedefine/>
    <w:uiPriority w:val="39"/>
    <w:unhideWhenUsed/>
    <w:rsid w:val="00DB7981"/>
    <w:pPr>
      <w:spacing w:after="100"/>
      <w:ind w:left="480"/>
    </w:pPr>
  </w:style>
  <w:style w:customStyle="1" w:styleId="BodyTextChar" w:type="character">
    <w:name w:val="Body Text Char"/>
    <w:basedOn w:val="DefaultParagraphFont"/>
    <w:link w:val="BodyText"/>
    <w:rsid w:val="0078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Authors</dc:creator>
  <cp:keywords/>
  <dcterms:created xsi:type="dcterms:W3CDTF">2024-05-22T13:57:43Z</dcterms:created>
  <dcterms:modified xsi:type="dcterms:W3CDTF">2024-05-22T13:57:43Z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