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8.png" ContentType="image/png"/>
  <Override PartName="/word/media/rId22.png" ContentType="image/png"/>
  <Override PartName="/word/media/rId35.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protocol-synopsis"/>
    <w:p>
      <w:pPr>
        <w:pStyle w:val="Heading1"/>
      </w:pPr>
      <w:r>
        <w:t xml:space="preserve">Protocol Synopsis</w:t>
      </w:r>
    </w:p>
    <w:p>
      <w:pPr>
        <w:pStyle w:val="FirstParagraph"/>
      </w:pPr>
      <w:r>
        <w:t xml:space="preserve">Edit here for protocol synopsis</w:t>
      </w:r>
    </w:p>
    <w:bookmarkStart w:id="20" w:name="project-organizational-chart-personnel"/>
    <w:p>
      <w:pPr>
        <w:pStyle w:val="Heading2"/>
      </w:pPr>
      <w:r>
        <w:t xml:space="preserve">Project Organizational Chart, Personnel</w:t>
      </w:r>
    </w:p>
    <w:p>
      <w:pPr>
        <w:pStyle w:val="FirstParagraph"/>
      </w:pPr>
      <w:r>
        <w:t xml:space="preserve">The org chart file can be found here P:/IRB_STUDY0011132_Cohort/RIS_code/DSMC/data/dsmc_report/org_chart.xlsx. Please edit and save the file to update.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Personnel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Team</w:t>
            </w:r>
          </w:p>
        </w:tc>
      </w:tr>
    </w:tbl>
    <w:p>
      <w:r>
        <w:br w:type="page"/>
      </w:r>
    </w:p>
    <w:bookmarkEnd w:id="20"/>
    <w:bookmarkStart w:id="21" w:name="brief-statement-of-purpose-of-trial"/>
    <w:p>
      <w:pPr>
        <w:pStyle w:val="Heading2"/>
      </w:pPr>
      <w:r>
        <w:t xml:space="preserve">Brief Statement of Purpose of Trial</w:t>
      </w:r>
    </w:p>
    <w:p>
      <w:pPr>
        <w:pStyle w:val="FirstParagraph"/>
      </w:pPr>
      <w:r>
        <w:t xml:space="preserve">Please add the purpose below to fit the needs of your project.</w:t>
      </w:r>
    </w:p>
    <w:bookmarkEnd w:id="21"/>
    <w:bookmarkStart w:id="25" w:name="projected-timetable-and-schedule"/>
    <w:p>
      <w:pPr>
        <w:pStyle w:val="Heading2"/>
      </w:pPr>
      <w:r>
        <w:t xml:space="preserve">Projected Timetable and Schedule</w:t>
      </w:r>
    </w:p>
    <w:p>
      <w:pPr>
        <w:pStyle w:val="FirstParagraph"/>
      </w:pPr>
      <w:r>
        <w:t xml:space="preserve">To import a project timeline, save a .png file over this file: P:/IRB_STUDY0011132_Cohort/RIS_code/DSMC/data/dsmc_report/project_timeline.png</w:t>
      </w:r>
      <w:r>
        <w:t xml:space="preserve"> </w:t>
      </w:r>
      <w:r>
        <w:drawing>
          <wp:inline>
            <wp:extent cx="5943600" cy="3600450"/>
            <wp:effectExtent b="0" l="0" r="0" t="0"/>
            <wp:docPr descr="" title="" id="23" name="Picture"/>
            <a:graphic>
              <a:graphicData uri="http://schemas.openxmlformats.org/drawingml/2006/picture">
                <pic:pic>
                  <pic:nvPicPr>
                    <pic:cNvPr descr="project_timeline.png" id="24" name="Picture"/>
                    <pic:cNvPicPr>
                      <a:picLocks noChangeArrowheads="1" noChangeAspect="1"/>
                    </pic:cNvPicPr>
                  </pic:nvPicPr>
                  <pic:blipFill>
                    <a:blip r:embed="rId22"/>
                    <a:stretch>
                      <a:fillRect/>
                    </a:stretch>
                  </pic:blipFill>
                  <pic:spPr bwMode="auto">
                    <a:xfrm>
                      <a:off x="0" y="0"/>
                      <a:ext cx="5943600" cy="3600450"/>
                    </a:xfrm>
                    <a:prstGeom prst="rect">
                      <a:avLst/>
                    </a:prstGeom>
                    <a:noFill/>
                    <a:ln w="9525">
                      <a:noFill/>
                      <a:headEnd/>
                      <a:tailEnd/>
                    </a:ln>
                  </pic:spPr>
                </pic:pic>
              </a:graphicData>
            </a:graphic>
          </wp:inline>
        </w:drawing>
      </w:r>
    </w:p>
    <w:p>
      <w:r>
        <w:br w:type="page"/>
      </w:r>
    </w:p>
    <w:bookmarkEnd w:id="25"/>
    <w:bookmarkEnd w:id="26"/>
    <w:bookmarkStart w:id="51" w:name="Xb474a2bb2ce7d448df88cdbf43163426916cace"/>
    <w:p>
      <w:pPr>
        <w:pStyle w:val="Heading1"/>
      </w:pPr>
      <w:r>
        <w:t xml:space="preserve">Recruitment and Participant Status: Figures and Tables</w:t>
      </w:r>
    </w:p>
    <w:p>
      <w:r>
        <w:br w:type="page"/>
      </w:r>
    </w:p>
    <w:bookmarkStart w:id="30" w:name="figure-1a-screening-consort-diagram"/>
    <w:p>
      <w:pPr>
        <w:pStyle w:val="Heading2"/>
      </w:pPr>
      <w:r>
        <w:t xml:space="preserve">Figure 1a: Screening Consort Diagram</w:t>
      </w:r>
    </w:p>
    <w:p>
      <w:pPr>
        <w:pStyle w:val="FirstParagraph"/>
      </w:pPr>
      <w:r>
        <w:t xml:space="preserve">Date as of: May 22, 2024</w:t>
      </w:r>
    </w:p>
    <w:p>
      <w:pPr>
        <w:pStyle w:val="BodyText"/>
      </w:pPr>
      <w:r>
        <w:drawing>
          <wp:inline>
            <wp:extent cx="5943600" cy="3962400"/>
            <wp:effectExtent b="0" l="0" r="0" t="0"/>
            <wp:docPr descr="" title="" id="28" name="Picture"/>
            <a:graphic>
              <a:graphicData uri="http://schemas.openxmlformats.org/drawingml/2006/picture">
                <pic:pic>
                  <pic:nvPicPr>
                    <pic:cNvPr descr="screening_consort.jpg" id="29" name="Picture"/>
                    <pic:cNvPicPr>
                      <a:picLocks noChangeArrowheads="1" noChangeAspect="1"/>
                    </pic:cNvPicPr>
                  </pic:nvPicPr>
                  <pic:blipFill>
                    <a:blip r:embed="rId27"/>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30"/>
    <w:bookmarkStart w:id="34" w:name="figure-1b-enrollment-consort-diagram"/>
    <w:p>
      <w:pPr>
        <w:pStyle w:val="Heading2"/>
      </w:pPr>
      <w:r>
        <w:t xml:space="preserve">Figure 1b: Enrollment Consort Diagram</w:t>
      </w:r>
    </w:p>
    <w:p>
      <w:pPr>
        <w:pStyle w:val="FirstParagraph"/>
      </w:pPr>
      <w:r>
        <w:t xml:space="preserve">Date as of: May 22, 2024</w:t>
      </w:r>
    </w:p>
    <w:p>
      <w:pPr>
        <w:pStyle w:val="BodyText"/>
      </w:pPr>
      <w:r>
        <w:drawing>
          <wp:inline>
            <wp:extent cx="5943600" cy="3962400"/>
            <wp:effectExtent b="0" l="0" r="0" t="0"/>
            <wp:docPr descr="" title="" id="32" name="Picture"/>
            <a:graphic>
              <a:graphicData uri="http://schemas.openxmlformats.org/drawingml/2006/picture">
                <pic:pic>
                  <pic:nvPicPr>
                    <pic:cNvPr descr="enrollment_consort_open.jpg"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34"/>
    <w:bookmarkStart w:id="41" w:name="figure-2-enrollment-actual-vs.-expected"/>
    <w:p>
      <w:pPr>
        <w:pStyle w:val="Heading2"/>
      </w:pPr>
      <w:r>
        <w:t xml:space="preserve">Figure 2: Enrollment: Actual vs. Expected</w:t>
      </w:r>
    </w:p>
    <w:p>
      <w:pPr>
        <w:pStyle w:val="FirstParagraph"/>
      </w:pPr>
      <w:r>
        <w:t xml:space="preserve">Date as of: May 22, 2024</w:t>
      </w:r>
    </w:p>
    <w:p>
      <w:pPr>
        <w:pStyle w:val="BodyText"/>
      </w:pPr>
      <w:r>
        <w:drawing>
          <wp:inline>
            <wp:extent cx="5943600" cy="2971800"/>
            <wp:effectExtent b="0" l="0" r="0" t="0"/>
            <wp:docPr descr="" title="" id="36" name="Picture"/>
            <a:graphic>
              <a:graphicData uri="http://schemas.openxmlformats.org/drawingml/2006/picture">
                <pic:pic>
                  <pic:nvPicPr>
                    <pic:cNvPr descr="screen_projection.png" id="37"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39" name="Picture"/>
            <a:graphic>
              <a:graphicData uri="http://schemas.openxmlformats.org/drawingml/2006/picture">
                <pic:pic>
                  <pic:nvPicPr>
                    <pic:cNvPr descr="enrollment_projection.png" id="4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bookmarkEnd w:id="41"/>
    <w:bookmarkStart w:id="43" w:name="table-1-participant-enrollment-status"/>
    <w:p>
      <w:pPr>
        <w:pStyle w:val="Heading2"/>
      </w:pPr>
      <w:r>
        <w:t xml:space="preserve">Table 1: Participant Enrollment Status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5"/>
        <w:gridCol w:w="570"/>
        <w:gridCol w:w="1169"/>
      </w:tblGrid>
      <w:tr>
        <w:trPr>
          <w:trHeight w:val="617" w:hRule="auto"/>
          <w:tblHeader/>
        </w:trPr>
        header1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Enrollment Status (N = 9)</w:t>
            </w:r>
          </w:p>
        </w:tc>
      </w:tr>
      <w:tr>
        <w:trPr>
          <w:trHeight w:val="574"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Treatment/Follow-up Continued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from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Lost to Follow-up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Start w:id="42" w:name="reasons-for-intervention-discontinuation"/>
    <w:p>
      <w:pPr>
        <w:pStyle w:val="Heading3"/>
      </w:pPr>
      <w:r>
        <w:t xml:space="preserve">Reasons for Intervention Discontinuation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r>
        <w:br w:type="page"/>
      </w:r>
    </w:p>
    <w:bookmarkEnd w:id="42"/>
    <w:bookmarkEnd w:id="43"/>
    <w:bookmarkStart w:id="48" w:name="table-2-reasons-for-screen-failures"/>
    <w:p>
      <w:pPr>
        <w:pStyle w:val="Heading2"/>
      </w:pPr>
      <w:r>
        <w:t xml:space="preserve">Table 2: Reasons for Screen Failures</w:t>
      </w:r>
    </w:p>
    <w:p>
      <w:pPr>
        <w:pStyle w:val="FirstParagraph"/>
      </w:pPr>
      <w:r>
        <w:t xml:space="preserve">Date as of: May 22, 2024</w:t>
      </w:r>
    </w:p>
    <w:bookmarkStart w:id="44" w:name="phone-screen-screen-fails-by-race"/>
    <w:p>
      <w:pPr>
        <w:pStyle w:val="Heading3"/>
      </w:pPr>
      <w:r>
        <w:t xml:space="preserve">Phone-screen Screen Fails: By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Middle Eastern or North African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Native Hawaiian or Other Pacific Islanders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This table is primarily used to examine racial differences for screen failing so that barriers to entry can be addressed.</w:t>
            </w:r>
          </w:p>
        </w:tc>
      </w:tr>
    </w:tbl>
    <w:p>
      <w:r>
        <w:br w:type="page"/>
      </w:r>
    </w:p>
    <w:bookmarkEnd w:id="44"/>
    <w:bookmarkStart w:id="45" w:name="Xd40916f866ca946c8fcb52c99623b3c03914c18"/>
    <w:p>
      <w:pPr>
        <w:pStyle w:val="Heading3"/>
      </w:pPr>
      <w:r>
        <w:t xml:space="preserve">Phone-screen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 (Total Screened = 24)</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Middle Eastern or North African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Native Hawaiian or Other Pacific Islanders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Pre-consent reason 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 (0%)</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total number of phone screens (N).This percentage includes all eligible and still screening participants.</w:t>
            </w:r>
          </w:p>
        </w:tc>
      </w:tr>
    </w:tbl>
    <w:p>
      <w:r>
        <w:br w:type="page"/>
      </w:r>
    </w:p>
    <w:bookmarkEnd w:id="45"/>
    <w:bookmarkStart w:id="46" w:name="Xcadf8d260e8d9fedd083652788002aa594bb9a0"/>
    <w:p>
      <w:pPr>
        <w:pStyle w:val="Heading3"/>
      </w:pPr>
      <w:r>
        <w:t xml:space="preserve">Post-consent Screen Fails: By Race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Middle Eastern or North African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(50%)</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table is primarily used to examine racial or ethnic differences for screen failing so that barriers to entry can be addressed.</w:t>
            </w:r>
          </w:p>
        </w:tc>
      </w:tr>
    </w:tbl>
    <w:p>
      <w:r>
        <w:br w:type="page"/>
      </w:r>
    </w:p>
    <w:bookmarkEnd w:id="46"/>
    <w:bookmarkStart w:id="47" w:name="X58105fe2b48e07c9e21855e7f7afb0c2e24c112"/>
    <w:p>
      <w:pPr>
        <w:pStyle w:val="Heading3"/>
      </w:pPr>
      <w:r>
        <w:t xml:space="preserve">Post-consent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 (Total Consented = 16)</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Middle Eastern or North African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continue reason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(6%)</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total number of consents. This percentage includes all eligible and still screening participants.</w:t>
            </w:r>
          </w:p>
        </w:tc>
      </w:tr>
    </w:tbl>
    <w:p>
      <w:r>
        <w:br w:type="page"/>
      </w:r>
    </w:p>
    <w:bookmarkEnd w:id="47"/>
    <w:bookmarkEnd w:id="48"/>
    <w:bookmarkStart w:id="49" w:name="X180ed91728f6b1ff400cd5ce5bb6428bfc11f41"/>
    <w:p>
      <w:pPr>
        <w:pStyle w:val="Heading2"/>
      </w:pPr>
      <w:r>
        <w:t xml:space="preserve">Table 3a: Demographic and Key Baseline Characteristics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(78%)</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(44%)</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(27)</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2024-05-22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49"/>
    <w:bookmarkStart w:id="50" w:name="X187c3a0b0fa7da171ed47bd75cb42405c75d00f"/>
    <w:p>
      <w:pPr>
        <w:pStyle w:val="Heading2"/>
      </w:pPr>
      <w:r>
        <w:t xml:space="preserve">Table 3b: Demographic and Key Baseline Characteristics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(8.7%)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Hawaiian or Other Pacific Islanders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(8.7%)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(57%)</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provided or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(22)</w:t>
            </w:r>
          </w:p>
        </w:tc>
      </w:tr>
      <w:tr>
        <w:trPr>
          <w:trHeight w:val="571"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2024-05-22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0"/>
    <w:bookmarkEnd w:id="51"/>
    <w:bookmarkStart w:id="56" w:name="protocol-fidelity"/>
    <w:p>
      <w:pPr>
        <w:pStyle w:val="Heading1"/>
      </w:pPr>
      <w:r>
        <w:t xml:space="preserve">Protocol Fidelity</w:t>
      </w:r>
    </w:p>
    <w:p>
      <w:pPr>
        <w:pStyle w:val="FirstParagraph"/>
      </w:pPr>
      <w:r>
        <w:rPr>
          <w:bCs/>
          <w:b/>
        </w:rPr>
        <w:t xml:space="preserve">Protocol Deviation</w:t>
      </w:r>
    </w:p>
    <w:p>
      <w:pPr>
        <w:pStyle w:val="BodyText"/>
      </w:pPr>
      <w:r>
        <w:t xml:space="preserve">A protocol deviation occurs when, without significant consequences, the activities on a study diverge from the Institutional Review Board-approved protocol.</w:t>
      </w:r>
    </w:p>
    <w:p>
      <w:pPr>
        <w:numPr>
          <w:ilvl w:val="0"/>
          <w:numId w:val="1001"/>
        </w:numPr>
      </w:pPr>
      <w:r>
        <w:t xml:space="preserve">Study visit occurred outside of protocol time frame due to participant’s schedule</w:t>
      </w:r>
    </w:p>
    <w:p>
      <w:pPr>
        <w:numPr>
          <w:ilvl w:val="0"/>
          <w:numId w:val="1001"/>
        </w:numPr>
      </w:pPr>
      <w:r>
        <w:t xml:space="preserve">Study activities performed close to, but not precisely at specified time points</w:t>
      </w:r>
    </w:p>
    <w:p>
      <w:pPr>
        <w:pStyle w:val="FirstParagraph"/>
      </w:pPr>
      <w:r>
        <w:rPr>
          <w:bCs/>
          <w:b/>
        </w:rPr>
        <w:t xml:space="preserve">Protocol Violation</w:t>
      </w:r>
    </w:p>
    <w:p>
      <w:pPr>
        <w:pStyle w:val="BodyText"/>
      </w:pPr>
      <w:r>
        <w:t xml:space="preserve">A divergence from the protocol that materially (a) reduces the quality or completeness of the data, (b) makes the Informed Consent Form inaccurate, or (c) impacts a subject’s safety, rights, or welfare.</w:t>
      </w:r>
    </w:p>
    <w:p>
      <w:pPr>
        <w:numPr>
          <w:ilvl w:val="0"/>
          <w:numId w:val="1002"/>
        </w:numPr>
      </w:pPr>
      <w:r>
        <w:t xml:space="preserve">Failure to obtain informed consent or re-consent when required by the IRB.</w:t>
      </w:r>
    </w:p>
    <w:p>
      <w:pPr>
        <w:numPr>
          <w:ilvl w:val="0"/>
          <w:numId w:val="1002"/>
        </w:numPr>
      </w:pPr>
      <w:r>
        <w:t xml:space="preserve">Modifying the protocol without IRB approval, except to avoid immediate hazard to subjects.</w:t>
      </w:r>
    </w:p>
    <w:p>
      <w:pPr>
        <w:numPr>
          <w:ilvl w:val="0"/>
          <w:numId w:val="1002"/>
        </w:numPr>
      </w:pPr>
      <w:r>
        <w:t xml:space="preserve">Inadequate or delinquent informed consent</w:t>
      </w:r>
    </w:p>
    <w:p>
      <w:pPr>
        <w:numPr>
          <w:ilvl w:val="0"/>
          <w:numId w:val="1002"/>
        </w:numPr>
      </w:pPr>
      <w:r>
        <w:t xml:space="preserve">Inclusion/exclusion criteria not met</w:t>
      </w:r>
    </w:p>
    <w:p>
      <w:pPr>
        <w:numPr>
          <w:ilvl w:val="0"/>
          <w:numId w:val="1002"/>
        </w:numPr>
      </w:pPr>
      <w:r>
        <w:t xml:space="preserve">Unreported serious adverse events</w:t>
      </w:r>
    </w:p>
    <w:p>
      <w:pPr>
        <w:numPr>
          <w:ilvl w:val="0"/>
          <w:numId w:val="1002"/>
        </w:numPr>
      </w:pPr>
      <w:r>
        <w:t xml:space="preserve">Improper breaking of the blind</w:t>
      </w:r>
    </w:p>
    <w:p>
      <w:pPr>
        <w:numPr>
          <w:ilvl w:val="0"/>
          <w:numId w:val="1002"/>
        </w:numPr>
      </w:pPr>
      <w:r>
        <w:t xml:space="preserve">Use of prohibited medication</w:t>
      </w:r>
    </w:p>
    <w:p>
      <w:pPr>
        <w:numPr>
          <w:ilvl w:val="0"/>
          <w:numId w:val="1002"/>
        </w:numPr>
      </w:pPr>
      <w:r>
        <w:t xml:space="preserve">Mishandled samples</w:t>
      </w:r>
    </w:p>
    <w:p>
      <w:pPr>
        <w:numPr>
          <w:ilvl w:val="0"/>
          <w:numId w:val="1002"/>
        </w:numPr>
      </w:pPr>
      <w:r>
        <w:t xml:space="preserve">Materially inadequate record keeping</w:t>
      </w:r>
    </w:p>
    <w:p>
      <w:pPr>
        <w:numPr>
          <w:ilvl w:val="0"/>
          <w:numId w:val="1002"/>
        </w:numPr>
      </w:pPr>
      <w:r>
        <w:t xml:space="preserve">Intentional deviation from protocol, Good Clinical Practice, or regulations by study personnel</w:t>
      </w:r>
    </w:p>
    <w:p>
      <w:pPr>
        <w:pStyle w:val="FirstParagraph"/>
      </w:pPr>
      <w:r>
        <w:rPr>
          <w:bCs/>
          <w:b/>
        </w:rPr>
        <w:t xml:space="preserve">Reference</w:t>
      </w:r>
    </w:p>
    <w:p>
      <w:pPr>
        <w:pStyle w:val="BodyText"/>
      </w:pPr>
      <w:r>
        <w:t xml:space="preserve">See Bhatt (2012) for more information.</w:t>
      </w:r>
    </w:p>
    <w:p>
      <w:pPr>
        <w:pStyle w:val="BodyText"/>
      </w:pPr>
      <w:r>
        <w:t xml:space="preserve">Bhatt A. Protocol deviation and violation. Perspect Clin Res. 2012 Jul;3(3):117. doi: 10.4103/2229-3485.100663. PMID: 23125964; PMCID: PMC3487227.</w:t>
      </w:r>
    </w:p>
    <w:p>
      <w:r>
        <w:br w:type="page"/>
      </w:r>
    </w:p>
    <w:bookmarkStart w:id="52" w:name="table-4-protocol-violations"/>
    <w:p>
      <w:pPr>
        <w:pStyle w:val="Heading2"/>
      </w:pPr>
      <w:r>
        <w:t xml:space="preserve">Table 4: Protocol Violations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961"/>
        <w:gridCol w:w="2159"/>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r>
      <w:tr>
        <w:trPr>
          <w:trHeight w:val="612" w:hRule="auto"/>
        </w:trPr>
        body1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Assessment outside protocol window</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Violations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61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52"/>
    <w:bookmarkStart w:id="53" w:name="table-5-protocol-deviations"/>
    <w:p>
      <w:pPr>
        <w:pStyle w:val="Heading2"/>
      </w:pPr>
      <w:r>
        <w:t xml:space="preserve">Table 5: Protocol Deviations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75"/>
        <w:gridCol w:w="961"/>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meet inclusion/exclusion criteria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3"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Failure to obtain informed consent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Deviations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w:t>
            </w:r>
          </w:p>
        </w:tc>
      </w:tr>
      <w:tr>
        <w:trPr>
          <w:trHeight w:val="612"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p>
      <w:r>
        <w:br w:type="page"/>
      </w:r>
    </w:p>
    <w:bookmarkEnd w:id="53"/>
    <w:bookmarkStart w:id="54" w:name="listing-1-new-protocol-violations"/>
    <w:p>
      <w:pPr>
        <w:pStyle w:val="Heading2"/>
      </w:pPr>
      <w:r>
        <w:t xml:space="preserve">Listing 1: New Protocol Violations</w:t>
      </w:r>
    </w:p>
    <w:p>
      <w:pPr>
        <w:pStyle w:val="FirstParagraph"/>
      </w:pPr>
      <w:r>
        <w:t xml:space="preserve">Date as of: May 22, 2024</w:t>
      </w:r>
    </w:p>
    <w:p>
      <w:pPr>
        <w:pStyle w:val="SourceCode"/>
      </w:pPr>
      <w:r>
        <w:rPr>
          <w:rStyle w:val="VerbatimChar"/>
        </w:rPr>
        <w:t xml:space="preserve">## There have been no new violations.</w:t>
      </w:r>
    </w:p>
    <w:p>
      <w:r>
        <w:br w:type="page"/>
      </w:r>
    </w:p>
    <w:bookmarkEnd w:id="54"/>
    <w:bookmarkStart w:id="55" w:name="listing-2-all-protocol-violations"/>
    <w:p>
      <w:pPr>
        <w:pStyle w:val="Heading2"/>
      </w:pPr>
      <w:r>
        <w:t xml:space="preserve">Listing 2: All Protocol Violations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5"/>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Protocol Deviations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Resulted in AE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Continued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Notes</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2021-11-01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Assessment outside protocol window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bl>
    <w:p>
      <w:r>
        <w:br w:type="page"/>
      </w:r>
    </w:p>
    <w:bookmarkEnd w:id="55"/>
    <w:bookmarkEnd w:id="56"/>
    <w:bookmarkStart w:id="67" w:name="X220af7d1f692e025771bc4f6ab43c130de0ec2b"/>
    <w:p>
      <w:pPr>
        <w:pStyle w:val="Heading1"/>
      </w:pPr>
      <w:r>
        <w:t xml:space="preserve">Safety Assessments for All Participants: Tables and Listing</w:t>
      </w:r>
    </w:p>
    <w:bookmarkStart w:id="57"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3"/>
        </w:numPr>
      </w:pPr>
      <w:r>
        <w:rPr>
          <w:bCs/>
          <w:b/>
        </w:rPr>
        <w:t xml:space="preserve">Grade 1</w:t>
      </w:r>
      <w:r>
        <w:t xml:space="preserve"> </w:t>
      </w:r>
      <w:r>
        <w:t xml:space="preserve">Mild; asymptomatic or mild symptoms; clinical or diagnostic observations only; intervention not indicated.</w:t>
      </w:r>
    </w:p>
    <w:p>
      <w:pPr>
        <w:numPr>
          <w:ilvl w:val="0"/>
          <w:numId w:val="1003"/>
        </w:numPr>
      </w:pPr>
      <w:r>
        <w:rPr>
          <w:bCs/>
          <w:b/>
        </w:rPr>
        <w:t xml:space="preserve">Grade 2</w:t>
      </w:r>
      <w:r>
        <w:t xml:space="preserve"> </w:t>
      </w:r>
      <w:r>
        <w:t xml:space="preserve">Moderate; minimal, local or noninvasive intervention indicated; limiting age-appropriate instrumental ADL*.</w:t>
      </w:r>
    </w:p>
    <w:p>
      <w:pPr>
        <w:numPr>
          <w:ilvl w:val="0"/>
          <w:numId w:val="1003"/>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3"/>
        </w:numPr>
      </w:pPr>
      <w:r>
        <w:rPr>
          <w:bCs/>
          <w:b/>
        </w:rPr>
        <w:t xml:space="preserve">Grade 4</w:t>
      </w:r>
      <w:r>
        <w:t xml:space="preserve"> </w:t>
      </w:r>
      <w:r>
        <w:t xml:space="preserve">Life-threatening consequences; urgent intervention indicated.</w:t>
      </w:r>
    </w:p>
    <w:p>
      <w:pPr>
        <w:numPr>
          <w:ilvl w:val="0"/>
          <w:numId w:val="1003"/>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4"/>
        </w:numPr>
      </w:pPr>
      <w:r>
        <w:rPr>
          <w:bCs/>
          <w:b/>
        </w:rPr>
        <w:t xml:space="preserve">Not Related</w:t>
      </w:r>
      <w:r>
        <w:t xml:space="preserve"> </w:t>
      </w:r>
      <w:r>
        <w:t xml:space="preserve">The AE is clearly NOT related to the intervention</w:t>
      </w:r>
    </w:p>
    <w:p>
      <w:pPr>
        <w:numPr>
          <w:ilvl w:val="0"/>
          <w:numId w:val="1004"/>
        </w:numPr>
      </w:pPr>
      <w:r>
        <w:rPr>
          <w:bCs/>
          <w:b/>
        </w:rPr>
        <w:t xml:space="preserve">Possibly Related</w:t>
      </w:r>
      <w:r>
        <w:t xml:space="preserve"> </w:t>
      </w:r>
      <w:r>
        <w:t xml:space="preserve">The AE may be related to the intervention</w:t>
      </w:r>
    </w:p>
    <w:p>
      <w:pPr>
        <w:numPr>
          <w:ilvl w:val="0"/>
          <w:numId w:val="1004"/>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5"/>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5"/>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5"/>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5"/>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57"/>
    <w:bookmarkStart w:id="58" w:name="table-7a-non-related-adverse-events"/>
    <w:p>
      <w:pPr>
        <w:pStyle w:val="Heading2"/>
      </w:pPr>
      <w:r>
        <w:t xml:space="preserve">Table 7a: Non-related Adverse Events</w:t>
      </w:r>
    </w:p>
    <w:p>
      <w:pPr>
        <w:pStyle w:val="FirstParagraph"/>
      </w:pPr>
      <w:r>
        <w:t xml:space="preserve">Date as of: May 22, 2024</w:t>
      </w:r>
    </w:p>
    <w:p>
      <w:pPr>
        <w:pStyle w:val="SourceCode"/>
      </w:pPr>
      <w:r>
        <w:rPr>
          <w:rStyle w:val="VerbatimChar"/>
        </w:rPr>
        <w:t xml:space="preserve">## [1] "There have been no non-related adverse events."</w:t>
      </w:r>
    </w:p>
    <w:p>
      <w:r>
        <w:br w:type="page"/>
      </w:r>
    </w:p>
    <w:p>
      <w:r>
        <w:br w:type="page"/>
      </w:r>
    </w:p>
    <w:p>
      <w:r>
        <w:br w:type="page"/>
      </w:r>
    </w:p>
    <w:bookmarkEnd w:id="58"/>
    <w:bookmarkStart w:id="59" w:name="table-7b-related-adverse-events"/>
    <w:p>
      <w:pPr>
        <w:pStyle w:val="Heading2"/>
      </w:pPr>
      <w:r>
        <w:t xml:space="preserve">Table 7b: Related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Cumulative at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Ventricular arrhythmia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2024-05-22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Ventricular arrhythmia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Ventricular arrhythmia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59"/>
    <w:bookmarkStart w:id="60" w:name="X890605edd11952cb4e114b4322b0d9d487c04bd"/>
    <w:p>
      <w:pPr>
        <w:pStyle w:val="Heading2"/>
      </w:pPr>
      <w:r>
        <w:t xml:space="preserve">Table 7c: Non-related Serious Adverse Events</w:t>
      </w:r>
    </w:p>
    <w:p>
      <w:pPr>
        <w:pStyle w:val="FirstParagraph"/>
      </w:pPr>
      <w:r>
        <w:t xml:space="preserve">Date as of: May 22, 2024</w:t>
      </w:r>
    </w:p>
    <w:p>
      <w:pPr>
        <w:pStyle w:val="SourceCode"/>
      </w:pPr>
      <w:r>
        <w:rPr>
          <w:rStyle w:val="VerbatimChar"/>
        </w:rPr>
        <w:t xml:space="preserve">## [1] "There have been no non-related serious adverse events"</w:t>
      </w:r>
    </w:p>
    <w:p>
      <w:r>
        <w:br w:type="page"/>
      </w:r>
    </w:p>
    <w:p>
      <w:r>
        <w:br w:type="page"/>
      </w:r>
    </w:p>
    <w:p>
      <w:r>
        <w:br w:type="page"/>
      </w:r>
    </w:p>
    <w:bookmarkEnd w:id="60"/>
    <w:bookmarkStart w:id="61" w:name="table-7d-related-serious-adverse-events"/>
    <w:p>
      <w:pPr>
        <w:pStyle w:val="Heading2"/>
      </w:pPr>
      <w:r>
        <w:t xml:space="preserve">Table 7d: Related Serious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Cumulative at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 Group by Reporting Period</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2024-05-22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bl>
    <w:p>
      <w:r>
        <w:br w:type="page"/>
      </w:r>
    </w:p>
    <w:bookmarkEnd w:id="61"/>
    <w:bookmarkStart w:id="62" w:name="listing-3-serious-adverse-events"/>
    <w:p>
      <w:pPr>
        <w:pStyle w:val="Heading2"/>
      </w:pPr>
      <w:r>
        <w:t xml:space="preserve">Listing 3: Serious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Broke knee at home on 12/15. Went to ER.</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62"/>
    <w:bookmarkStart w:id="63" w:name="listing-4-deaths"/>
    <w:p>
      <w:pPr>
        <w:pStyle w:val="Heading2"/>
      </w:pPr>
      <w:r>
        <w:t xml:space="preserve">Listing 4: Deaths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1939"/>
        <w:gridCol w:w="2098"/>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bl>
    <w:p>
      <w:r>
        <w:br w:type="page"/>
      </w:r>
    </w:p>
    <w:bookmarkEnd w:id="63"/>
    <w:bookmarkStart w:id="64" w:name="X67cdf5c4763ff35caeb17e8c089f8bea47d7fd5"/>
    <w:p>
      <w:pPr>
        <w:pStyle w:val="Heading2"/>
      </w:pPr>
      <w:r>
        <w:t xml:space="preserve">Listing 5a: New Adverse Events Related to the Intervention</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p>
      <w:r>
        <w:br w:type="page"/>
      </w:r>
    </w:p>
    <w:bookmarkEnd w:id="64"/>
    <w:bookmarkStart w:id="65" w:name="X5cb40d5a762fd80ec434297be235ea8dc7313ac"/>
    <w:p>
      <w:pPr>
        <w:pStyle w:val="Heading2"/>
      </w:pPr>
      <w:r>
        <w:t xml:space="preserve">Listing 5b: New Adverse Events Not Related to Intervention</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65"/>
    <w:bookmarkStart w:id="66" w:name="listing-6a-all-adverse-events"/>
    <w:p>
      <w:pPr>
        <w:pStyle w:val="Heading2"/>
      </w:pPr>
      <w:r>
        <w:t xml:space="preserve">Listing 6a: All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bl>
    <w:p>
      <w:r>
        <w:br w:type="page"/>
      </w:r>
    </w:p>
    <w:bookmarkEnd w:id="66"/>
    <w:bookmarkEnd w:id="67"/>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2024-05-22T13:57:17Z</dcterms:created>
  <dcterms:modified xsi:type="dcterms:W3CDTF">2024-05-22T13:57:17Z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