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44"/>
        </w:rPr>
        <w:t>UNIVERSAL ACCESS CONTROL FOUNDATION</w:t>
      </w:r>
    </w:p>
    <w:p>
      <w:pPr>
        <w:jc w:val="center"/>
      </w:pPr>
      <w:r>
        <w:rPr>
          <w:b/>
          <w:sz w:val="26"/>
        </w:rPr>
        <w:t>Generic Security Architecture Standard and Implementation Manual</w:t>
      </w:r>
    </w:p>
    <w:p>
      <w:pPr>
        <w:jc w:val="center"/>
      </w:pPr>
      <w:r>
        <w:t>Version 1.0-Universal | New Projects and Existing-Project Refactoring | Technology-Agnostic</w:t>
      </w:r>
    </w:p>
    <w:p/>
    <w:p>
      <w:r>
        <w:rPr>
          <w:b/>
        </w:rPr>
        <w:t xml:space="preserve">Purpose. </w:t>
      </w:r>
      <w:r>
        <w:t>This manual defines a reusable access-control foundation for AI-assisted software development. It translates the reference SaaS access-control standard into a project-neutral implementation model that can be adopted by SaaS, non-SaaS, single-tenant, multi-tenant, internal, public, API-driven, modular, and hybrid applications.</w:t>
      </w:r>
    </w:p>
    <w:p>
      <w:pPr>
        <w:pStyle w:val="Heading1"/>
      </w:pPr>
      <w:r>
        <w:t>1. Executive Summary</w:t>
      </w:r>
    </w:p>
    <w:p>
      <w:r>
        <w:t>The reference materials correctly establish a strong generic access-control model: RBAC for administrative grouping, scoped permissions for boundary control, ABAC-style conditions for request context, capability-driven UI for experience consistency, and auditability for privileged operations. This manual broadens that model so it can be reused in any project rather than only in complex SaaS products.</w:t>
      </w:r>
    </w:p>
    <w:p>
      <w:r>
        <w:t>The key correction is to treat access control as a foundation with adjustable maturity. A small internal tool may begin with authenticated-only access and route classification, while a serious multi-tenant SaaS platform may require scoped RBAC, policy conditions, custom roles, service accounts, impersonation controls, tenant isolation, field-level redaction, and audit review. Both implementations should follow the same conceptual model so the smaller product can mature without rework.</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rPr>
              <w:t>Finding</w:t>
            </w:r>
          </w:p>
        </w:tc>
        <w:tc>
          <w:tcPr>
            <w:tcW w:type="dxa" w:w="5083"/>
            <w:shd w:fill="D9EAF7"/>
          </w:tcPr>
          <w:p>
            <w:r>
              <w:rPr>
                <w:b/>
              </w:rPr>
              <w:t>Implementation Decision</w:t>
            </w:r>
          </w:p>
        </w:tc>
      </w:tr>
      <w:tr>
        <w:tc>
          <w:tcPr>
            <w:tcW w:type="dxa" w:w="5083"/>
            <w:vAlign w:val="top"/>
          </w:tcPr>
          <w:p>
            <w:r>
              <w:t>Original standard is SaaS-oriented</w:t>
            </w:r>
          </w:p>
        </w:tc>
        <w:tc>
          <w:tcPr>
            <w:tcW w:type="dxa" w:w="5083"/>
            <w:vAlign w:val="top"/>
          </w:tcPr>
          <w:p>
            <w:r>
              <w:t>Generalize to any application with optional SaaS/multi-tenant maturity.</w:t>
            </w:r>
          </w:p>
        </w:tc>
      </w:tr>
      <w:tr>
        <w:tc>
          <w:tcPr>
            <w:tcW w:type="dxa" w:w="5083"/>
            <w:vAlign w:val="top"/>
          </w:tcPr>
          <w:p>
            <w:r>
              <w:t>RBAC alone is insufficient</w:t>
            </w:r>
          </w:p>
        </w:tc>
        <w:tc>
          <w:tcPr>
            <w:tcW w:type="dxa" w:w="5083"/>
            <w:vAlign w:val="top"/>
          </w:tcPr>
          <w:p>
            <w:r>
              <w:t>Preserve RBAC, but require scope and policy conditions where context matters.</w:t>
            </w:r>
          </w:p>
        </w:tc>
      </w:tr>
      <w:tr>
        <w:tc>
          <w:tcPr>
            <w:tcW w:type="dxa" w:w="5083"/>
            <w:vAlign w:val="top"/>
          </w:tcPr>
          <w:p>
            <w:r>
              <w:t>UI gating is useful but unsafe alone</w:t>
            </w:r>
          </w:p>
        </w:tc>
        <w:tc>
          <w:tcPr>
            <w:tcW w:type="dxa" w:w="5083"/>
            <w:vAlign w:val="top"/>
          </w:tcPr>
          <w:p>
            <w:r>
              <w:t>Require capability-driven UI plus backend enforcement.</w:t>
            </w:r>
          </w:p>
        </w:tc>
      </w:tr>
      <w:tr>
        <w:tc>
          <w:tcPr>
            <w:tcW w:type="dxa" w:w="5083"/>
            <w:vAlign w:val="top"/>
          </w:tcPr>
          <w:p>
            <w:r>
              <w:t>Existing apps may already have scattered checks</w:t>
            </w:r>
          </w:p>
        </w:tc>
        <w:tc>
          <w:tcPr>
            <w:tcW w:type="dxa" w:w="5083"/>
            <w:vAlign w:val="top"/>
          </w:tcPr>
          <w:p>
            <w:r>
              <w:t>Add a refactoring path that inventories, maps, migrates, and tests legacy behavior.</w:t>
            </w:r>
          </w:p>
        </w:tc>
      </w:tr>
      <w:tr>
        <w:tc>
          <w:tcPr>
            <w:tcW w:type="dxa" w:w="5083"/>
            <w:vAlign w:val="top"/>
          </w:tcPr>
          <w:p>
            <w:r>
              <w:t>AI agents tend to add is_admin shortcuts</w:t>
            </w:r>
          </w:p>
        </w:tc>
        <w:tc>
          <w:tcPr>
            <w:tcW w:type="dxa" w:w="5083"/>
            <w:vAlign w:val="top"/>
          </w:tcPr>
          <w:p>
            <w:r>
              <w:t>Update AGENTS.md with access-control rules and mandatory repository artifacts.</w:t>
            </w:r>
          </w:p>
        </w:tc>
      </w:tr>
    </w:tbl>
    <w:p/>
    <w:p>
      <w:pPr>
        <w:pStyle w:val="Heading1"/>
      </w:pPr>
      <w:r>
        <w:t>2. Universal Doctrine</w:t>
      </w:r>
    </w:p>
    <w:p>
      <w:r>
        <w:t>Access control must answer five questions for every protected operation: who is the actor, what resource is being touched, what action is being attempted, where the permission applies, and which policy allows or denies the request. The system should deny by default, authenticate first, authorize every protected request, and record privileged operations in an audit trail.</w:t>
      </w:r>
    </w:p>
    <w:p>
      <w:pPr>
        <w:pStyle w:val="ListBullet"/>
      </w:pPr>
      <w:r>
        <w:t>Authentication identifies the actor; authorization decides whether the actor may perform the operation.</w:t>
      </w:r>
    </w:p>
    <w:p>
      <w:pPr>
        <w:pStyle w:val="ListBullet"/>
      </w:pPr>
      <w:r>
        <w:t>Roles are administrative conveniences; permissions are enforceable grants.</w:t>
      </w:r>
    </w:p>
    <w:p>
      <w:pPr>
        <w:pStyle w:val="ListBullet"/>
      </w:pPr>
      <w:r>
        <w:t>Scopes define where grants apply; policies decide whether a grant is valid in context.</w:t>
      </w:r>
    </w:p>
    <w:p>
      <w:pPr>
        <w:pStyle w:val="ListBullet"/>
      </w:pPr>
      <w:r>
        <w:t>Capabilities reflect permissions in UI navigation and actions; they do not replace server-side authorization.</w:t>
      </w:r>
    </w:p>
    <w:p>
      <w:pPr>
        <w:pStyle w:val="ListBullet"/>
      </w:pPr>
      <w:r>
        <w:t>Audit logs record privileged changes, high-risk operations, and denied privileged attempts.</w:t>
      </w:r>
    </w:p>
    <w:p>
      <w:pPr>
        <w:pStyle w:val="ListBullet"/>
      </w:pPr>
      <w:r>
        <w:t>Tests must include both allowed and denied cases.</w:t>
      </w:r>
    </w:p>
    <w:p>
      <w:pPr>
        <w:pStyle w:val="Heading1"/>
      </w:pPr>
      <w:r>
        <w:t>3. Access-Control Maturity Model</w:t>
      </w:r>
    </w:p>
    <w:p>
      <w:r>
        <w:t>The maturity model prevents overbuilding while preserving an upgrade path. The project mapping file should declare the current and target maturity levels.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D9EAF7"/>
          </w:tcPr>
          <w:p>
            <w:r>
              <w:rPr>
                <w:b/>
              </w:rPr>
              <w:t>Level</w:t>
            </w:r>
          </w:p>
        </w:tc>
        <w:tc>
          <w:tcPr>
            <w:tcW w:type="dxa" w:w="2541"/>
            <w:shd w:fill="D9EAF7"/>
          </w:tcPr>
          <w:p>
            <w:r>
              <w:rPr>
                <w:b/>
              </w:rPr>
              <w:t>Name</w:t>
            </w:r>
          </w:p>
        </w:tc>
        <w:tc>
          <w:tcPr>
            <w:tcW w:type="dxa" w:w="2541"/>
            <w:shd w:fill="D9EAF7"/>
          </w:tcPr>
          <w:p>
            <w:r>
              <w:rPr>
                <w:b/>
              </w:rPr>
              <w:t>Appropriate For</w:t>
            </w:r>
          </w:p>
        </w:tc>
        <w:tc>
          <w:tcPr>
            <w:tcW w:type="dxa" w:w="2541"/>
            <w:shd w:fill="D9EAF7"/>
          </w:tcPr>
          <w:p>
            <w:r>
              <w:rPr>
                <w:b/>
              </w:rPr>
              <w:t>Required Capabilities</w:t>
            </w:r>
          </w:p>
        </w:tc>
      </w:tr>
      <w:tr>
        <w:tc>
          <w:tcPr>
            <w:tcW w:type="dxa" w:w="2541"/>
            <w:vAlign w:val="top"/>
          </w:tcPr>
          <w:p>
            <w:r>
              <w:t>0</w:t>
            </w:r>
          </w:p>
        </w:tc>
        <w:tc>
          <w:tcPr>
            <w:tcW w:type="dxa" w:w="2541"/>
            <w:vAlign w:val="top"/>
          </w:tcPr>
          <w:p>
            <w:r>
              <w:t>Public / No protected state</w:t>
            </w:r>
          </w:p>
        </w:tc>
        <w:tc>
          <w:tcPr>
            <w:tcW w:type="dxa" w:w="2541"/>
            <w:vAlign w:val="top"/>
          </w:tcPr>
          <w:p>
            <w:r>
              <w:t>Static sites, public content</w:t>
            </w:r>
          </w:p>
        </w:tc>
        <w:tc>
          <w:tcPr>
            <w:tcW w:type="dxa" w:w="2541"/>
            <w:vAlign w:val="top"/>
          </w:tcPr>
          <w:p>
            <w:r>
              <w:t>Explicit public classification and no private-data exposure.</w:t>
            </w:r>
          </w:p>
        </w:tc>
      </w:tr>
      <w:tr>
        <w:tc>
          <w:tcPr>
            <w:tcW w:type="dxa" w:w="2541"/>
            <w:vAlign w:val="top"/>
          </w:tcPr>
          <w:p>
            <w:r>
              <w:t>1</w:t>
            </w:r>
          </w:p>
        </w:tc>
        <w:tc>
          <w:tcPr>
            <w:tcW w:type="dxa" w:w="2541"/>
            <w:vAlign w:val="top"/>
          </w:tcPr>
          <w:p>
            <w:r>
              <w:t>Authenticated-only</w:t>
            </w:r>
          </w:p>
        </w:tc>
        <w:tc>
          <w:tcPr>
            <w:tcW w:type="dxa" w:w="2541"/>
            <w:vAlign w:val="top"/>
          </w:tcPr>
          <w:p>
            <w:r>
              <w:t>Simple logged-in applications</w:t>
            </w:r>
          </w:p>
        </w:tc>
        <w:tc>
          <w:tcPr>
            <w:tcW w:type="dxa" w:w="2541"/>
            <w:vAlign w:val="top"/>
          </w:tcPr>
          <w:p>
            <w:r>
              <w:t>Authentication, session/token handling, protected route guard.</w:t>
            </w:r>
          </w:p>
        </w:tc>
      </w:tr>
      <w:tr>
        <w:tc>
          <w:tcPr>
            <w:tcW w:type="dxa" w:w="2541"/>
            <w:vAlign w:val="top"/>
          </w:tcPr>
          <w:p>
            <w:r>
              <w:t>2</w:t>
            </w:r>
          </w:p>
        </w:tc>
        <w:tc>
          <w:tcPr>
            <w:tcW w:type="dxa" w:w="2541"/>
            <w:vAlign w:val="top"/>
          </w:tcPr>
          <w:p>
            <w:r>
              <w:t>Basic RBAC</w:t>
            </w:r>
          </w:p>
        </w:tc>
        <w:tc>
          <w:tcPr>
            <w:tcW w:type="dxa" w:w="2541"/>
            <w:vAlign w:val="top"/>
          </w:tcPr>
          <w:p>
            <w:r>
              <w:t>Internal tools and early products</w:t>
            </w:r>
          </w:p>
        </w:tc>
        <w:tc>
          <w:tcPr>
            <w:tcW w:type="dxa" w:w="2541"/>
            <w:vAlign w:val="top"/>
          </w:tcPr>
          <w:p>
            <w:r>
              <w:t>Roles, permission groups, centralized checks.</w:t>
            </w:r>
          </w:p>
        </w:tc>
      </w:tr>
      <w:tr>
        <w:tc>
          <w:tcPr>
            <w:tcW w:type="dxa" w:w="2541"/>
            <w:vAlign w:val="top"/>
          </w:tcPr>
          <w:p>
            <w:r>
              <w:t>3</w:t>
            </w:r>
          </w:p>
        </w:tc>
        <w:tc>
          <w:tcPr>
            <w:tcW w:type="dxa" w:w="2541"/>
            <w:vAlign w:val="top"/>
          </w:tcPr>
          <w:p>
            <w:r>
              <w:t>Scoped RBAC</w:t>
            </w:r>
          </w:p>
        </w:tc>
        <w:tc>
          <w:tcPr>
            <w:tcW w:type="dxa" w:w="2541"/>
            <w:vAlign w:val="top"/>
          </w:tcPr>
          <w:p>
            <w:r>
              <w:t>Multi-team, tenant, project, workspace apps</w:t>
            </w:r>
          </w:p>
        </w:tc>
        <w:tc>
          <w:tcPr>
            <w:tcW w:type="dxa" w:w="2541"/>
            <w:vAlign w:val="top"/>
          </w:tcPr>
          <w:p>
            <w:r>
              <w:t>Scoped role assignments, containment checks, route/API policies, audit events.</w:t>
            </w:r>
          </w:p>
        </w:tc>
      </w:tr>
      <w:tr>
        <w:tc>
          <w:tcPr>
            <w:tcW w:type="dxa" w:w="2541"/>
            <w:vAlign w:val="top"/>
          </w:tcPr>
          <w:p>
            <w:r>
              <w:t>4</w:t>
            </w:r>
          </w:p>
        </w:tc>
        <w:tc>
          <w:tcPr>
            <w:tcW w:type="dxa" w:w="2541"/>
            <w:vAlign w:val="top"/>
          </w:tcPr>
          <w:p>
            <w:r>
              <w:t>Policy-aware authorization</w:t>
            </w:r>
          </w:p>
        </w:tc>
        <w:tc>
          <w:tcPr>
            <w:tcW w:type="dxa" w:w="2541"/>
            <w:vAlign w:val="top"/>
          </w:tcPr>
          <w:p>
            <w:r>
              <w:t>Serious SaaS and modular platforms</w:t>
            </w:r>
          </w:p>
        </w:tc>
        <w:tc>
          <w:tcPr>
            <w:tcW w:type="dxa" w:w="2541"/>
            <w:vAlign w:val="top"/>
          </w:tcPr>
          <w:p>
            <w:r>
              <w:t>RBAC + scope + policy conditions, capability registry, service accounts, tests.</w:t>
            </w:r>
          </w:p>
        </w:tc>
      </w:tr>
      <w:tr>
        <w:tc>
          <w:tcPr>
            <w:tcW w:type="dxa" w:w="2541"/>
            <w:vAlign w:val="top"/>
          </w:tcPr>
          <w:p>
            <w:r>
              <w:t>5</w:t>
            </w:r>
          </w:p>
        </w:tc>
        <w:tc>
          <w:tcPr>
            <w:tcW w:type="dxa" w:w="2541"/>
            <w:vAlign w:val="top"/>
          </w:tcPr>
          <w:p>
            <w:r>
              <w:t>Enterprise governance</w:t>
            </w:r>
          </w:p>
        </w:tc>
        <w:tc>
          <w:tcPr>
            <w:tcW w:type="dxa" w:w="2541"/>
            <w:vAlign w:val="top"/>
          </w:tcPr>
          <w:p>
            <w:r>
              <w:t>Compliance-heavy and enterprise SaaS</w:t>
            </w:r>
          </w:p>
        </w:tc>
        <w:tc>
          <w:tcPr>
            <w:tcW w:type="dxa" w:w="2541"/>
            <w:vAlign w:val="top"/>
          </w:tcPr>
          <w:p>
            <w:r>
              <w:t>Custom roles, field-level access, separation of duties, step-up auth, audit review.</w:t>
            </w:r>
          </w:p>
        </w:tc>
      </w:tr>
    </w:tbl>
    <w:p/>
    <w:p>
      <w:pPr>
        <w:pStyle w:val="Heading1"/>
      </w:pPr>
      <w:r>
        <w:t>4. Core Concepts</w:t>
      </w:r>
    </w:p>
    <w:p>
      <w:pPr>
        <w:pStyle w:val="Heading2"/>
      </w:pPr>
      <w:r>
        <w:t>Actor</w:t>
      </w:r>
    </w:p>
    <w:p>
      <w:r>
        <w:t>The authenticated entity making a request: human user, API client, service account, integration, scheduled job, or delegated support session.</w:t>
      </w:r>
    </w:p>
    <w:p>
      <w:pPr>
        <w:pStyle w:val="Heading2"/>
      </w:pPr>
      <w:r>
        <w:t>Subject</w:t>
      </w:r>
    </w:p>
    <w:p>
      <w:r>
        <w:t>The security principal evaluated by policy. In impersonation, it includes both original actor and effective actor.</w:t>
      </w:r>
    </w:p>
    <w:p>
      <w:pPr>
        <w:pStyle w:val="Heading2"/>
      </w:pPr>
      <w:r>
        <w:t>Resource</w:t>
      </w:r>
    </w:p>
    <w:p>
      <w:r>
        <w:t>Any protected object, screen, endpoint, file, setting, tenant, workspace, project, module, integration, report, or field.</w:t>
      </w:r>
    </w:p>
    <w:p>
      <w:pPr>
        <w:pStyle w:val="Heading2"/>
      </w:pPr>
      <w:r>
        <w:t>Action</w:t>
      </w:r>
    </w:p>
    <w:p>
      <w:r>
        <w:t>The attempted operation against a resource, using predictable verbs such as create, read, update, delete, list, export, assign, revoke, configure, impersonate, archive, restore, and manage.</w:t>
      </w:r>
    </w:p>
    <w:p>
      <w:pPr>
        <w:pStyle w:val="Heading2"/>
      </w:pPr>
      <w:r>
        <w:t>Permission</w:t>
      </w:r>
    </w:p>
    <w:p>
      <w:r>
        <w:t>A stable resource.action grant such as users.read, roles.assign, audit_logs.read, api_tokens.create, or billing.manage.</w:t>
      </w:r>
    </w:p>
    <w:p>
      <w:pPr>
        <w:pStyle w:val="Heading2"/>
      </w:pPr>
      <w:r>
        <w:t>Scope</w:t>
      </w:r>
    </w:p>
    <w:p>
      <w:r>
        <w:t>The boundary where a permission applies: platform, organization, tenant, workspace, project, module, resource, field, self, or global.</w:t>
      </w:r>
    </w:p>
    <w:p>
      <w:pPr>
        <w:pStyle w:val="Heading2"/>
      </w:pPr>
      <w:r>
        <w:t>Role</w:t>
      </w:r>
    </w:p>
    <w:p>
      <w:r>
        <w:t>A named collection of permissions assigned to an actor within a scope. Roles are managed by humans; permissions are enforced by code.</w:t>
      </w:r>
    </w:p>
    <w:p>
      <w:pPr>
        <w:pStyle w:val="Heading2"/>
      </w:pPr>
      <w:r>
        <w:t>Policy</w:t>
      </w:r>
    </w:p>
    <w:p>
      <w:r>
        <w:t>A condition-aware rule that evaluates actor, resource, action, scope, ownership, request context, environment, entitlement, and workflow state.</w:t>
      </w:r>
    </w:p>
    <w:p>
      <w:pPr>
        <w:pStyle w:val="Heading2"/>
      </w:pPr>
      <w:r>
        <w:t>Capability</w:t>
      </w:r>
    </w:p>
    <w:p>
      <w:r>
        <w:t>A UI/workflow declaration that connects a route, menu item, or action to required permissions, scope, entitlement, and status.</w:t>
      </w:r>
    </w:p>
    <w:p>
      <w:pPr>
        <w:pStyle w:val="Heading2"/>
      </w:pPr>
      <w:r>
        <w:t>Entitlement</w:t>
      </w:r>
    </w:p>
    <w:p>
      <w:r>
        <w:t>An account or tenant eligibility rule based on subscription plan, module enablement, feature flag, license, contract, or environment.</w:t>
      </w:r>
    </w:p>
    <w:p>
      <w:pPr>
        <w:pStyle w:val="Heading1"/>
      </w:pPr>
      <w:r>
        <w:t>5. Role and Permission Standard</w:t>
      </w:r>
    </w:p>
    <w:p>
      <w:r>
        <w:t>Projects may use product-specific role labels, but internal role categories should remain compatible with the universal vocabulary. This prevents each application from inventing incompatible access-control concepts.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Pr>
          <w:p>
            <w:r>
              <w:rPr>
                <w:b/>
              </w:rPr>
              <w:t>Category</w:t>
            </w:r>
          </w:p>
        </w:tc>
        <w:tc>
          <w:tcPr>
            <w:tcW w:type="dxa" w:w="3389"/>
            <w:shd w:fill="D9EAF7"/>
          </w:tcPr>
          <w:p>
            <w:r>
              <w:rPr>
                <w:b/>
              </w:rPr>
              <w:t>Typical Scope</w:t>
            </w:r>
          </w:p>
        </w:tc>
        <w:tc>
          <w:tcPr>
            <w:tcW w:type="dxa" w:w="3389"/>
            <w:shd w:fill="D9EAF7"/>
          </w:tcPr>
          <w:p>
            <w:r>
              <w:rPr>
                <w:b/>
              </w:rPr>
              <w:t>Purpose</w:t>
            </w:r>
          </w:p>
        </w:tc>
      </w:tr>
      <w:tr>
        <w:tc>
          <w:tcPr>
            <w:tcW w:type="dxa" w:w="3389"/>
            <w:vAlign w:val="top"/>
          </w:tcPr>
          <w:p>
            <w:r>
              <w:t>Platform Owner</w:t>
            </w:r>
          </w:p>
        </w:tc>
        <w:tc>
          <w:tcPr>
            <w:tcW w:type="dxa" w:w="3389"/>
            <w:vAlign w:val="top"/>
          </w:tcPr>
          <w:p>
            <w:r>
              <w:t>platform</w:t>
            </w:r>
          </w:p>
        </w:tc>
        <w:tc>
          <w:tcPr>
            <w:tcW w:type="dxa" w:w="3389"/>
            <w:vAlign w:val="top"/>
          </w:tcPr>
          <w:p>
            <w:r>
              <w:t>Emergency governance and ultimate ownership; rare and strongly authenticated.</w:t>
            </w:r>
          </w:p>
        </w:tc>
      </w:tr>
      <w:tr>
        <w:tc>
          <w:tcPr>
            <w:tcW w:type="dxa" w:w="3389"/>
            <w:vAlign w:val="top"/>
          </w:tcPr>
          <w:p>
            <w:r>
              <w:t>Platform Administrator</w:t>
            </w:r>
          </w:p>
        </w:tc>
        <w:tc>
          <w:tcPr>
            <w:tcW w:type="dxa" w:w="3389"/>
            <w:vAlign w:val="top"/>
          </w:tcPr>
          <w:p>
            <w:r>
              <w:t>platform/restricted platform</w:t>
            </w:r>
          </w:p>
        </w:tc>
        <w:tc>
          <w:tcPr>
            <w:tcW w:type="dxa" w:w="3389"/>
            <w:vAlign w:val="top"/>
          </w:tcPr>
          <w:p>
            <w:r>
              <w:t>Platform operations, support, configuration, compliance, moderation.</w:t>
            </w:r>
          </w:p>
        </w:tc>
      </w:tr>
      <w:tr>
        <w:tc>
          <w:tcPr>
            <w:tcW w:type="dxa" w:w="3389"/>
            <w:vAlign w:val="top"/>
          </w:tcPr>
          <w:p>
            <w:r>
              <w:t>Platform Support</w:t>
            </w:r>
          </w:p>
        </w:tc>
        <w:tc>
          <w:tcPr>
            <w:tcW w:type="dxa" w:w="3389"/>
            <w:vAlign w:val="top"/>
          </w:tcPr>
          <w:p>
            <w:r>
              <w:t>assigned tenant/org/support queue</w:t>
            </w:r>
          </w:p>
        </w:tc>
        <w:tc>
          <w:tcPr>
            <w:tcW w:type="dxa" w:w="3389"/>
            <w:vAlign w:val="top"/>
          </w:tcPr>
          <w:p>
            <w:r>
              <w:t>Restricted support without unrestricted customer data access.</w:t>
            </w:r>
          </w:p>
        </w:tc>
      </w:tr>
      <w:tr>
        <w:tc>
          <w:tcPr>
            <w:tcW w:type="dxa" w:w="3389"/>
            <w:vAlign w:val="top"/>
          </w:tcPr>
          <w:p>
            <w:r>
              <w:t>Partner / Reseller</w:t>
            </w:r>
          </w:p>
        </w:tc>
        <w:tc>
          <w:tcPr>
            <w:tcW w:type="dxa" w:w="3389"/>
            <w:vAlign w:val="top"/>
          </w:tcPr>
          <w:p>
            <w:r>
              <w:t>organization/tenant group</w:t>
            </w:r>
          </w:p>
        </w:tc>
        <w:tc>
          <w:tcPr>
            <w:tcW w:type="dxa" w:w="3389"/>
            <w:vAlign w:val="top"/>
          </w:tcPr>
          <w:p>
            <w:r>
              <w:t>Delegated customer, tenant, billing, or provisioning administration.</w:t>
            </w:r>
          </w:p>
        </w:tc>
      </w:tr>
      <w:tr>
        <w:tc>
          <w:tcPr>
            <w:tcW w:type="dxa" w:w="3389"/>
            <w:vAlign w:val="top"/>
          </w:tcPr>
          <w:p>
            <w:r>
              <w:t>Tenant Owner</w:t>
            </w:r>
          </w:p>
        </w:tc>
        <w:tc>
          <w:tcPr>
            <w:tcW w:type="dxa" w:w="3389"/>
            <w:vAlign w:val="top"/>
          </w:tcPr>
          <w:p>
            <w:r>
              <w:t>tenant</w:t>
            </w:r>
          </w:p>
        </w:tc>
        <w:tc>
          <w:tcPr>
            <w:tcW w:type="dxa" w:w="3389"/>
            <w:vAlign w:val="top"/>
          </w:tcPr>
          <w:p>
            <w:r>
              <w:t>Highest business authority within one tenant/account.</w:t>
            </w:r>
          </w:p>
        </w:tc>
      </w:tr>
      <w:tr>
        <w:tc>
          <w:tcPr>
            <w:tcW w:type="dxa" w:w="3389"/>
            <w:vAlign w:val="top"/>
          </w:tcPr>
          <w:p>
            <w:r>
              <w:t>Tenant Administrator</w:t>
            </w:r>
          </w:p>
        </w:tc>
        <w:tc>
          <w:tcPr>
            <w:tcW w:type="dxa" w:w="3389"/>
            <w:vAlign w:val="top"/>
          </w:tcPr>
          <w:p>
            <w:r>
              <w:t>tenant</w:t>
            </w:r>
          </w:p>
        </w:tc>
        <w:tc>
          <w:tcPr>
            <w:tcW w:type="dxa" w:w="3389"/>
            <w:vAlign w:val="top"/>
          </w:tcPr>
          <w:p>
            <w:r>
              <w:t>Operational tenant administration.</w:t>
            </w:r>
          </w:p>
        </w:tc>
      </w:tr>
      <w:tr>
        <w:tc>
          <w:tcPr>
            <w:tcW w:type="dxa" w:w="3389"/>
            <w:vAlign w:val="top"/>
          </w:tcPr>
          <w:p>
            <w:r>
              <w:t>Manager / Supervisor</w:t>
            </w:r>
          </w:p>
        </w:tc>
        <w:tc>
          <w:tcPr>
            <w:tcW w:type="dxa" w:w="3389"/>
            <w:vAlign w:val="top"/>
          </w:tcPr>
          <w:p>
            <w:r>
              <w:t>workspace/project/team/module</w:t>
            </w:r>
          </w:p>
        </w:tc>
        <w:tc>
          <w:tcPr>
            <w:tcW w:type="dxa" w:w="3389"/>
            <w:vAlign w:val="top"/>
          </w:tcPr>
          <w:p>
            <w:r>
              <w:t>Operational supervision and approvals.</w:t>
            </w:r>
          </w:p>
        </w:tc>
      </w:tr>
      <w:tr>
        <w:tc>
          <w:tcPr>
            <w:tcW w:type="dxa" w:w="3389"/>
            <w:vAlign w:val="top"/>
          </w:tcPr>
          <w:p>
            <w:r>
              <w:t>Standard User</w:t>
            </w:r>
          </w:p>
        </w:tc>
        <w:tc>
          <w:tcPr>
            <w:tcW w:type="dxa" w:w="3389"/>
            <w:vAlign w:val="top"/>
          </w:tcPr>
          <w:p>
            <w:r>
              <w:t>self/project/workspace/tenant</w:t>
            </w:r>
          </w:p>
        </w:tc>
        <w:tc>
          <w:tcPr>
            <w:tcW w:type="dxa" w:w="3389"/>
            <w:vAlign w:val="top"/>
          </w:tcPr>
          <w:p>
            <w:r>
              <w:t>Ordinary product work.</w:t>
            </w:r>
          </w:p>
        </w:tc>
      </w:tr>
      <w:tr>
        <w:tc>
          <w:tcPr>
            <w:tcW w:type="dxa" w:w="3389"/>
            <w:vAlign w:val="top"/>
          </w:tcPr>
          <w:p>
            <w:r>
              <w:t>Agent / Operator</w:t>
            </w:r>
          </w:p>
        </w:tc>
        <w:tc>
          <w:tcPr>
            <w:tcW w:type="dxa" w:w="3389"/>
            <w:vAlign w:val="top"/>
          </w:tcPr>
          <w:p>
            <w:r>
              <w:t>queue/workflow/project/team</w:t>
            </w:r>
          </w:p>
        </w:tc>
        <w:tc>
          <w:tcPr>
            <w:tcW w:type="dxa" w:w="3389"/>
            <w:vAlign w:val="top"/>
          </w:tcPr>
          <w:p>
            <w:r>
              <w:t>Specialized operational workflows.</w:t>
            </w:r>
          </w:p>
        </w:tc>
      </w:tr>
      <w:tr>
        <w:tc>
          <w:tcPr>
            <w:tcW w:type="dxa" w:w="3389"/>
            <w:vAlign w:val="top"/>
          </w:tcPr>
          <w:p>
            <w:r>
              <w:t>Viewer</w:t>
            </w:r>
          </w:p>
        </w:tc>
        <w:tc>
          <w:tcPr>
            <w:tcW w:type="dxa" w:w="3389"/>
            <w:vAlign w:val="top"/>
          </w:tcPr>
          <w:p>
            <w:r>
              <w:t>project/workspace/tenant/resource</w:t>
            </w:r>
          </w:p>
        </w:tc>
        <w:tc>
          <w:tcPr>
            <w:tcW w:type="dxa" w:w="3389"/>
            <w:vAlign w:val="top"/>
          </w:tcPr>
          <w:p>
            <w:r>
              <w:t>Read-only access, possibly with field redaction.</w:t>
            </w:r>
          </w:p>
        </w:tc>
      </w:tr>
      <w:tr>
        <w:tc>
          <w:tcPr>
            <w:tcW w:type="dxa" w:w="3389"/>
            <w:vAlign w:val="top"/>
          </w:tcPr>
          <w:p>
            <w:r>
              <w:t>Auditor</w:t>
            </w:r>
          </w:p>
        </w:tc>
        <w:tc>
          <w:tcPr>
            <w:tcW w:type="dxa" w:w="3389"/>
            <w:vAlign w:val="top"/>
          </w:tcPr>
          <w:p>
            <w:r>
              <w:t>platform/tenant/workspace</w:t>
            </w:r>
          </w:p>
        </w:tc>
        <w:tc>
          <w:tcPr>
            <w:tcW w:type="dxa" w:w="3389"/>
            <w:vAlign w:val="top"/>
          </w:tcPr>
          <w:p>
            <w:r>
              <w:t>Read logs, reports, evidence, and immutable records.</w:t>
            </w:r>
          </w:p>
        </w:tc>
      </w:tr>
      <w:tr>
        <w:tc>
          <w:tcPr>
            <w:tcW w:type="dxa" w:w="3389"/>
            <w:vAlign w:val="top"/>
          </w:tcPr>
          <w:p>
            <w:r>
              <w:t>Integrator / Technical Operator</w:t>
            </w:r>
          </w:p>
        </w:tc>
        <w:tc>
          <w:tcPr>
            <w:tcW w:type="dxa" w:w="3389"/>
            <w:vAlign w:val="top"/>
          </w:tcPr>
          <w:p>
            <w:r>
              <w:t>integration/module/tenant</w:t>
            </w:r>
          </w:p>
        </w:tc>
        <w:tc>
          <w:tcPr>
            <w:tcW w:type="dxa" w:w="3389"/>
            <w:vAlign w:val="top"/>
          </w:tcPr>
          <w:p>
            <w:r>
              <w:t>APIs, webhooks, connectors, service accounts.</w:t>
            </w:r>
          </w:p>
        </w:tc>
      </w:tr>
      <w:tr>
        <w:tc>
          <w:tcPr>
            <w:tcW w:type="dxa" w:w="3389"/>
            <w:vAlign w:val="top"/>
          </w:tcPr>
          <w:p>
            <w:r>
              <w:t>API Client / Service Account</w:t>
            </w:r>
          </w:p>
        </w:tc>
        <w:tc>
          <w:tcPr>
            <w:tcW w:type="dxa" w:w="3389"/>
            <w:vAlign w:val="top"/>
          </w:tcPr>
          <w:p>
            <w:r>
              <w:t>explicit service scope</w:t>
            </w:r>
          </w:p>
        </w:tc>
        <w:tc>
          <w:tcPr>
            <w:tcW w:type="dxa" w:w="3389"/>
            <w:vAlign w:val="top"/>
          </w:tcPr>
          <w:p>
            <w:r>
              <w:t>Machine-to-machine access.</w:t>
            </w:r>
          </w:p>
        </w:tc>
      </w:tr>
      <w:tr>
        <w:tc>
          <w:tcPr>
            <w:tcW w:type="dxa" w:w="3389"/>
            <w:vAlign w:val="top"/>
          </w:tcPr>
          <w:p>
            <w:r>
              <w:t>Guest / External Collaborator</w:t>
            </w:r>
          </w:p>
        </w:tc>
        <w:tc>
          <w:tcPr>
            <w:tcW w:type="dxa" w:w="3389"/>
            <w:vAlign w:val="top"/>
          </w:tcPr>
          <w:p>
            <w:r>
              <w:t>resource/project/invitation</w:t>
            </w:r>
          </w:p>
        </w:tc>
        <w:tc>
          <w:tcPr>
            <w:tcW w:type="dxa" w:w="3389"/>
            <w:vAlign w:val="top"/>
          </w:tcPr>
          <w:p>
            <w:r>
              <w:t>Limited external access.</w:t>
            </w:r>
          </w:p>
        </w:tc>
      </w:tr>
    </w:tbl>
    <w:p/>
    <w:p>
      <w:r>
        <w:t>Permission names must use stable resource.action or module.resource.action format. Avoid vague permission names such as admin, full_access, can_edit, or manager. Those may be user-facing role labels, not enforceable grants.</w:t>
      </w:r>
    </w:p>
    <w:p>
      <w:pPr>
        <w:pStyle w:val="Heading1"/>
      </w:pPr>
      <w:r>
        <w:t>6. Scope, Tenancy, and Boundary Isolation</w:t>
      </w:r>
    </w:p>
    <w:p>
      <w:r>
        <w:t>Scope is the most common failure point in SaaS and multi-user applications. A user may have users.update in one tenant, but that grant must not apply to another tenant. The backend must verify containment and ownership rather than trusting route parameters or submitted IDs.</w:t>
      </w:r>
    </w:p>
    <w:p>
      <w:pPr>
        <w:pStyle w:val="ListBullet"/>
      </w:pPr>
      <w:r>
        <w:t>Scope inheritance must be explicit and documented.</w:t>
      </w:r>
    </w:p>
    <w:p>
      <w:pPr>
        <w:pStyle w:val="ListBullet"/>
      </w:pPr>
      <w:r>
        <w:t>Resource IDs must be verified against tenant, organization, workspace, project, or owner boundaries.</w:t>
      </w:r>
    </w:p>
    <w:p>
      <w:pPr>
        <w:pStyle w:val="ListBullet"/>
      </w:pPr>
      <w:r>
        <w:t>Cross-scope access requires explicit permission and audit.</w:t>
      </w:r>
    </w:p>
    <w:p>
      <w:pPr>
        <w:pStyle w:val="ListBullet"/>
      </w:pPr>
      <w:r>
        <w:t>Single-tenant systems should still use global, project, resource, and self scopes where applicable.</w:t>
      </w:r>
    </w:p>
    <w:p>
      <w:pPr>
        <w:pStyle w:val="ListBullet"/>
      </w:pPr>
      <w:r>
        <w:t>Caches, jobs, object storage paths, and audit records must carry tenant/scope context when tenant data is involved.</w:t>
      </w:r>
    </w:p>
    <w:p>
      <w:pPr>
        <w:pStyle w:val="Heading1"/>
      </w:pPr>
      <w:r>
        <w:t>7. Capability-Driven UI</w:t>
      </w:r>
    </w:p>
    <w:p>
      <w:r>
        <w:t>The UI must reflect authorization through capabilities rather than hardcoded role checks. Menus, pages, buttons, workflow actions, panels, and dangerous operations should declare required permission, required scope, feature/module dependency, visibility policy, enabled policy, and implementation status.</w:t>
      </w:r>
    </w:p>
    <w:p>
      <w:r>
        <w:t>Capability-driven UI improves usability but is not a security boundary. Backend authorization must still enforce every protected operation.</w:t>
      </w:r>
    </w:p>
    <w:p>
      <w:pPr>
        <w:pStyle w:val="Heading1"/>
      </w:pPr>
      <w:r>
        <w:t>8. Backend Enforcement</w:t>
      </w:r>
    </w:p>
    <w:p>
      <w:r>
        <w:t>Every protected request must pass through centralized authorization. Route guards alone are not enough; sensitive service operations, data queries, downloads, exports, background jobs, and API endpoints must also enforce policy.</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rPr>
              <w:t>Enforcement Point</w:t>
            </w:r>
          </w:p>
        </w:tc>
        <w:tc>
          <w:tcPr>
            <w:tcW w:type="dxa" w:w="5083"/>
            <w:shd w:fill="D9EAF7"/>
          </w:tcPr>
          <w:p>
            <w:r>
              <w:rPr>
                <w:b/>
              </w:rPr>
              <w:t>Requirement</w:t>
            </w:r>
          </w:p>
        </w:tc>
      </w:tr>
      <w:tr>
        <w:tc>
          <w:tcPr>
            <w:tcW w:type="dxa" w:w="5083"/>
            <w:vAlign w:val="top"/>
          </w:tcPr>
          <w:p>
            <w:r>
              <w:t>Route/API guard</w:t>
            </w:r>
          </w:p>
        </w:tc>
        <w:tc>
          <w:tcPr>
            <w:tcW w:type="dxa" w:w="5083"/>
            <w:vAlign w:val="top"/>
          </w:tcPr>
          <w:p>
            <w:r>
              <w:t>Authenticate and classify incoming requests.</w:t>
            </w:r>
          </w:p>
        </w:tc>
      </w:tr>
      <w:tr>
        <w:tc>
          <w:tcPr>
            <w:tcW w:type="dxa" w:w="5083"/>
            <w:vAlign w:val="top"/>
          </w:tcPr>
          <w:p>
            <w:r>
              <w:t>Controller/action policy</w:t>
            </w:r>
          </w:p>
        </w:tc>
        <w:tc>
          <w:tcPr>
            <w:tcW w:type="dxa" w:w="5083"/>
            <w:vAlign w:val="top"/>
          </w:tcPr>
          <w:p>
            <w:r>
              <w:t>Check permission before operation orchestration.</w:t>
            </w:r>
          </w:p>
        </w:tc>
      </w:tr>
      <w:tr>
        <w:tc>
          <w:tcPr>
            <w:tcW w:type="dxa" w:w="5083"/>
            <w:vAlign w:val="top"/>
          </w:tcPr>
          <w:p>
            <w:r>
              <w:t>Service-layer policy</w:t>
            </w:r>
          </w:p>
        </w:tc>
        <w:tc>
          <w:tcPr>
            <w:tcW w:type="dxa" w:w="5083"/>
            <w:vAlign w:val="top"/>
          </w:tcPr>
          <w:p>
            <w:r>
              <w:t>Protect sensitive domain operations.</w:t>
            </w:r>
          </w:p>
        </w:tc>
      </w:tr>
      <w:tr>
        <w:tc>
          <w:tcPr>
            <w:tcW w:type="dxa" w:w="5083"/>
            <w:vAlign w:val="top"/>
          </w:tcPr>
          <w:p>
            <w:r>
              <w:t>Repository/query guard</w:t>
            </w:r>
          </w:p>
        </w:tc>
        <w:tc>
          <w:tcPr>
            <w:tcW w:type="dxa" w:w="5083"/>
            <w:vAlign w:val="top"/>
          </w:tcPr>
          <w:p>
            <w:r>
              <w:t>Apply tenant/scope filters and containment rules.</w:t>
            </w:r>
          </w:p>
        </w:tc>
      </w:tr>
      <w:tr>
        <w:tc>
          <w:tcPr>
            <w:tcW w:type="dxa" w:w="5083"/>
            <w:vAlign w:val="top"/>
          </w:tcPr>
          <w:p>
            <w:r>
              <w:t>File/export guard</w:t>
            </w:r>
          </w:p>
        </w:tc>
        <w:tc>
          <w:tcPr>
            <w:tcW w:type="dxa" w:w="5083"/>
            <w:vAlign w:val="top"/>
          </w:tcPr>
          <w:p>
            <w:r>
              <w:t>Authorize before reading files, exports, reports, and downloads.</w:t>
            </w:r>
          </w:p>
        </w:tc>
      </w:tr>
      <w:tr>
        <w:tc>
          <w:tcPr>
            <w:tcW w:type="dxa" w:w="5083"/>
            <w:vAlign w:val="top"/>
          </w:tcPr>
          <w:p>
            <w:r>
              <w:t>Background job context</w:t>
            </w:r>
          </w:p>
        </w:tc>
        <w:tc>
          <w:tcPr>
            <w:tcW w:type="dxa" w:w="5083"/>
            <w:vAlign w:val="top"/>
          </w:tcPr>
          <w:p>
            <w:r>
              <w:t>Carry actor/system identity and tenant/scope context.</w:t>
            </w:r>
          </w:p>
        </w:tc>
      </w:tr>
      <w:tr>
        <w:tc>
          <w:tcPr>
            <w:tcW w:type="dxa" w:w="5083"/>
            <w:vAlign w:val="top"/>
          </w:tcPr>
          <w:p>
            <w:r>
              <w:t>Audit logger</w:t>
            </w:r>
          </w:p>
        </w:tc>
        <w:tc>
          <w:tcPr>
            <w:tcW w:type="dxa" w:w="5083"/>
            <w:vAlign w:val="top"/>
          </w:tcPr>
          <w:p>
            <w:r>
              <w:t>Record privileged operations and relevant denials.</w:t>
            </w:r>
          </w:p>
        </w:tc>
      </w:tr>
    </w:tbl>
    <w:p/>
    <w:p>
      <w:pPr>
        <w:pStyle w:val="Heading1"/>
      </w:pPr>
      <w:r>
        <w:t>9. Data Model Reference</w:t>
      </w:r>
    </w:p>
    <w:p>
      <w:r>
        <w:t>The exact schema is stack-dependent, but the following conceptual entities should exist in serious applications: actors/users, tenants or organizations where applicable, roles, permissions, role_permissions, role_assignments, policy_rules, capability definitions, API clients/service accounts, and audit_events. For existing applications, these may be mapped to current tables before migration.</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rPr>
              <w:t>Entity</w:t>
            </w:r>
          </w:p>
        </w:tc>
        <w:tc>
          <w:tcPr>
            <w:tcW w:type="dxa" w:w="5083"/>
            <w:shd w:fill="D9EAF7"/>
          </w:tcPr>
          <w:p>
            <w:r>
              <w:rPr>
                <w:b/>
              </w:rPr>
              <w:t>Purpose</w:t>
            </w:r>
          </w:p>
        </w:tc>
      </w:tr>
      <w:tr>
        <w:tc>
          <w:tcPr>
            <w:tcW w:type="dxa" w:w="5083"/>
            <w:vAlign w:val="top"/>
          </w:tcPr>
          <w:p>
            <w:r>
              <w:t>actors / users</w:t>
            </w:r>
          </w:p>
        </w:tc>
        <w:tc>
          <w:tcPr>
            <w:tcW w:type="dxa" w:w="5083"/>
            <w:vAlign w:val="top"/>
          </w:tcPr>
          <w:p>
            <w:r>
              <w:t>Authenticated human or machine identities.</w:t>
            </w:r>
          </w:p>
        </w:tc>
      </w:tr>
      <w:tr>
        <w:tc>
          <w:tcPr>
            <w:tcW w:type="dxa" w:w="5083"/>
            <w:vAlign w:val="top"/>
          </w:tcPr>
          <w:p>
            <w:r>
              <w:t>tenants / organizations / accounts</w:t>
            </w:r>
          </w:p>
        </w:tc>
        <w:tc>
          <w:tcPr>
            <w:tcW w:type="dxa" w:w="5083"/>
            <w:vAlign w:val="top"/>
          </w:tcPr>
          <w:p>
            <w:r>
              <w:t>Customer or ownership boundaries where applicable.</w:t>
            </w:r>
          </w:p>
        </w:tc>
      </w:tr>
      <w:tr>
        <w:tc>
          <w:tcPr>
            <w:tcW w:type="dxa" w:w="5083"/>
            <w:vAlign w:val="top"/>
          </w:tcPr>
          <w:p>
            <w:r>
              <w:t>roles</w:t>
            </w:r>
          </w:p>
        </w:tc>
        <w:tc>
          <w:tcPr>
            <w:tcW w:type="dxa" w:w="5083"/>
            <w:vAlign w:val="top"/>
          </w:tcPr>
          <w:p>
            <w:r>
              <w:t>Human-manageable permission bundles.</w:t>
            </w:r>
          </w:p>
        </w:tc>
      </w:tr>
      <w:tr>
        <w:tc>
          <w:tcPr>
            <w:tcW w:type="dxa" w:w="5083"/>
            <w:vAlign w:val="top"/>
          </w:tcPr>
          <w:p>
            <w:r>
              <w:t>permissions</w:t>
            </w:r>
          </w:p>
        </w:tc>
        <w:tc>
          <w:tcPr>
            <w:tcW w:type="dxa" w:w="5083"/>
            <w:vAlign w:val="top"/>
          </w:tcPr>
          <w:p>
            <w:r>
              <w:t>Enforceable resource.action grants.</w:t>
            </w:r>
          </w:p>
        </w:tc>
      </w:tr>
      <w:tr>
        <w:tc>
          <w:tcPr>
            <w:tcW w:type="dxa" w:w="5083"/>
            <w:vAlign w:val="top"/>
          </w:tcPr>
          <w:p>
            <w:r>
              <w:t>role_permissions</w:t>
            </w:r>
          </w:p>
        </w:tc>
        <w:tc>
          <w:tcPr>
            <w:tcW w:type="dxa" w:w="5083"/>
            <w:vAlign w:val="top"/>
          </w:tcPr>
          <w:p>
            <w:r>
              <w:t>Role-to-permission mappings.</w:t>
            </w:r>
          </w:p>
        </w:tc>
      </w:tr>
      <w:tr>
        <w:tc>
          <w:tcPr>
            <w:tcW w:type="dxa" w:w="5083"/>
            <w:vAlign w:val="top"/>
          </w:tcPr>
          <w:p>
            <w:r>
              <w:t>role_assignments</w:t>
            </w:r>
          </w:p>
        </w:tc>
        <w:tc>
          <w:tcPr>
            <w:tcW w:type="dxa" w:w="5083"/>
            <w:vAlign w:val="top"/>
          </w:tcPr>
          <w:p>
            <w:r>
              <w:t>Actor-to-role assignments with scope.</w:t>
            </w:r>
          </w:p>
        </w:tc>
      </w:tr>
      <w:tr>
        <w:tc>
          <w:tcPr>
            <w:tcW w:type="dxa" w:w="5083"/>
            <w:vAlign w:val="top"/>
          </w:tcPr>
          <w:p>
            <w:r>
              <w:t>policy_rules</w:t>
            </w:r>
          </w:p>
        </w:tc>
        <w:tc>
          <w:tcPr>
            <w:tcW w:type="dxa" w:w="5083"/>
            <w:vAlign w:val="top"/>
          </w:tcPr>
          <w:p>
            <w:r>
              <w:t>Contextual allow/deny conditions.</w:t>
            </w:r>
          </w:p>
        </w:tc>
      </w:tr>
      <w:tr>
        <w:tc>
          <w:tcPr>
            <w:tcW w:type="dxa" w:w="5083"/>
            <w:vAlign w:val="top"/>
          </w:tcPr>
          <w:p>
            <w:r>
              <w:t>capabilities</w:t>
            </w:r>
          </w:p>
        </w:tc>
        <w:tc>
          <w:tcPr>
            <w:tcW w:type="dxa" w:w="5083"/>
            <w:vAlign w:val="top"/>
          </w:tcPr>
          <w:p>
            <w:r>
              <w:t>UI/workflow metadata linked to permissions.</w:t>
            </w:r>
          </w:p>
        </w:tc>
      </w:tr>
      <w:tr>
        <w:tc>
          <w:tcPr>
            <w:tcW w:type="dxa" w:w="5083"/>
            <w:vAlign w:val="top"/>
          </w:tcPr>
          <w:p>
            <w:r>
              <w:t>audit_events</w:t>
            </w:r>
          </w:p>
        </w:tc>
        <w:tc>
          <w:tcPr>
            <w:tcW w:type="dxa" w:w="5083"/>
            <w:vAlign w:val="top"/>
          </w:tcPr>
          <w:p>
            <w:r>
              <w:t>Append-only security-relevant event log.</w:t>
            </w:r>
          </w:p>
        </w:tc>
      </w:tr>
    </w:tbl>
    <w:p/>
    <w:p>
      <w:pPr>
        <w:pStyle w:val="Heading1"/>
      </w:pPr>
      <w:r>
        <w:t>10. High-Risk Areas</w:t>
      </w:r>
    </w:p>
    <w:p>
      <w:pPr>
        <w:pStyle w:val="Heading2"/>
      </w:pPr>
      <w:r>
        <w:t>Super Admin and Break-Glass</w:t>
      </w:r>
    </w:p>
    <w:p>
      <w:pPr>
        <w:pStyle w:val="ListBullet"/>
      </w:pPr>
      <w:r>
        <w:t>Rare accounts only.</w:t>
      </w:r>
    </w:p>
    <w:p>
      <w:pPr>
        <w:pStyle w:val="ListBullet"/>
      </w:pPr>
      <w:r>
        <w:t>Strong authentication required.</w:t>
      </w:r>
    </w:p>
    <w:p>
      <w:pPr>
        <w:pStyle w:val="ListBullet"/>
      </w:pPr>
      <w:r>
        <w:t>Every privileged action audited.</w:t>
      </w:r>
    </w:p>
    <w:p>
      <w:pPr>
        <w:pStyle w:val="ListBullet"/>
      </w:pPr>
      <w:r>
        <w:t>Not used for daily support.</w:t>
      </w:r>
    </w:p>
    <w:p>
      <w:pPr>
        <w:pStyle w:val="ListBullet"/>
      </w:pPr>
      <w:r>
        <w:t>Break-glass access time-bound, reviewed, and logged.</w:t>
      </w:r>
    </w:p>
    <w:p>
      <w:pPr>
        <w:pStyle w:val="Heading2"/>
      </w:pPr>
      <w:r>
        <w:t>Impersonation</w:t>
      </w:r>
    </w:p>
    <w:p>
      <w:pPr>
        <w:pStyle w:val="ListBullet"/>
      </w:pPr>
      <w:r>
        <w:t>Requires explicit permission.</w:t>
      </w:r>
    </w:p>
    <w:p>
      <w:pPr>
        <w:pStyle w:val="ListBullet"/>
      </w:pPr>
      <w:r>
        <w:t>Records original and effective actor.</w:t>
      </w:r>
    </w:p>
    <w:p>
      <w:pPr>
        <w:pStyle w:val="ListBullet"/>
      </w:pPr>
      <w:r>
        <w:t>Visibly indicated in UI.</w:t>
      </w:r>
    </w:p>
    <w:p>
      <w:pPr>
        <w:pStyle w:val="ListBullet"/>
      </w:pPr>
      <w:r>
        <w:t>Time-limited and revocable.</w:t>
      </w:r>
    </w:p>
    <w:p>
      <w:pPr>
        <w:pStyle w:val="ListBullet"/>
      </w:pPr>
      <w:r>
        <w:t>Blocks billing, MFA, password, API token, role, destructive export, and security changes unless policy explicitly allows.</w:t>
      </w:r>
    </w:p>
    <w:p>
      <w:pPr>
        <w:pStyle w:val="Heading2"/>
      </w:pPr>
      <w:r>
        <w:t>Service Accounts and API Clients</w:t>
      </w:r>
    </w:p>
    <w:p>
      <w:pPr>
        <w:pStyle w:val="ListBullet"/>
      </w:pPr>
      <w:r>
        <w:t>Explicit scopes and permissions.</w:t>
      </w:r>
    </w:p>
    <w:p>
      <w:pPr>
        <w:pStyle w:val="ListBullet"/>
      </w:pPr>
      <w:r>
        <w:t>Expiry, rotation, and revocation.</w:t>
      </w:r>
    </w:p>
    <w:p>
      <w:pPr>
        <w:pStyle w:val="ListBullet"/>
      </w:pPr>
      <w:r>
        <w:t>Separate audit identity.</w:t>
      </w:r>
    </w:p>
    <w:p>
      <w:pPr>
        <w:pStyle w:val="ListBullet"/>
      </w:pPr>
      <w:r>
        <w:t>No broad inheritance from human roles unless delegated and documented.</w:t>
      </w:r>
    </w:p>
    <w:p>
      <w:pPr>
        <w:pStyle w:val="Heading2"/>
      </w:pPr>
      <w:r>
        <w:t>Public and Anonymous Access</w:t>
      </w:r>
    </w:p>
    <w:p>
      <w:pPr>
        <w:pStyle w:val="ListBullet"/>
      </w:pPr>
      <w:r>
        <w:t>Explicit public classification.</w:t>
      </w:r>
    </w:p>
    <w:p>
      <w:pPr>
        <w:pStyle w:val="ListBullet"/>
      </w:pPr>
      <w:r>
        <w:t>No accidental private data exposure.</w:t>
      </w:r>
    </w:p>
    <w:p>
      <w:pPr>
        <w:pStyle w:val="ListBullet"/>
      </w:pPr>
      <w:r>
        <w:t>Guest links scoped and time-limited where appropriate.</w:t>
      </w:r>
    </w:p>
    <w:p>
      <w:pPr>
        <w:pStyle w:val="ListBullet"/>
      </w:pPr>
      <w:r>
        <w:t>Rate limits considered.</w:t>
      </w:r>
    </w:p>
    <w:p>
      <w:pPr>
        <w:pStyle w:val="Heading2"/>
      </w:pPr>
      <w:r>
        <w:t>Field-Level and Record-Level Access</w:t>
      </w:r>
    </w:p>
    <w:p>
      <w:pPr>
        <w:pStyle w:val="ListBullet"/>
      </w:pPr>
      <w:r>
        <w:t>Used for PII, financial, regulated, security, billing, credential, and private communication fields.</w:t>
      </w:r>
    </w:p>
    <w:p>
      <w:pPr>
        <w:pStyle w:val="ListBullet"/>
      </w:pPr>
      <w:r>
        <w:t>Backend enforces redaction and masking.</w:t>
      </w:r>
    </w:p>
    <w:p>
      <w:pPr>
        <w:pStyle w:val="ListBullet"/>
      </w:pPr>
      <w:r>
        <w:t>UI reflects redacted state safely.</w:t>
      </w:r>
    </w:p>
    <w:p>
      <w:pPr>
        <w:pStyle w:val="Heading1"/>
      </w:pPr>
      <w:r>
        <w:t>11. New Project Implementation Guide</w:t>
      </w:r>
    </w:p>
    <w:p>
      <w:pPr>
        <w:pStyle w:val="ListNumber"/>
      </w:pPr>
      <w:r>
        <w:t>Place access-control-reference.md in /docs/.</w:t>
      </w:r>
    </w:p>
    <w:p>
      <w:pPr>
        <w:pStyle w:val="ListNumber"/>
      </w:pPr>
      <w:r>
        <w:t>Create access-control-mapping.md and select current/target maturity levels.</w:t>
      </w:r>
    </w:p>
    <w:p>
      <w:pPr>
        <w:pStyle w:val="ListNumber"/>
      </w:pPr>
      <w:r>
        <w:t>Define actors, scopes, resources, actions, permissions, baseline roles, and capabilities.</w:t>
      </w:r>
    </w:p>
    <w:p>
      <w:pPr>
        <w:pStyle w:val="ListNumber"/>
      </w:pPr>
      <w:r>
        <w:t>Implement a central authorization service and decision object.</w:t>
      </w:r>
    </w:p>
    <w:p>
      <w:pPr>
        <w:pStyle w:val="ListNumber"/>
      </w:pPr>
      <w:r>
        <w:t>Implement route/API guards and classify routes.</w:t>
      </w:r>
    </w:p>
    <w:p>
      <w:pPr>
        <w:pStyle w:val="ListNumber"/>
      </w:pPr>
      <w:r>
        <w:t>Implement scope resolver and query/data guards where boundaries exist.</w:t>
      </w:r>
    </w:p>
    <w:p>
      <w:pPr>
        <w:pStyle w:val="ListNumber"/>
      </w:pPr>
      <w:r>
        <w:t>Implement capability-driven UI gating after or alongside backend enforcement.</w:t>
      </w:r>
    </w:p>
    <w:p>
      <w:pPr>
        <w:pStyle w:val="ListNumber"/>
      </w:pPr>
      <w:r>
        <w:t>Implement audit events for privileged operations.</w:t>
      </w:r>
    </w:p>
    <w:p>
      <w:pPr>
        <w:pStyle w:val="ListNumber"/>
      </w:pPr>
      <w:r>
        <w:t>Seed baseline roles and permissions deterministically.</w:t>
      </w:r>
    </w:p>
    <w:p>
      <w:pPr>
        <w:pStyle w:val="ListNumber"/>
      </w:pPr>
      <w:r>
        <w:t>Add positive and negative tests.</w:t>
      </w:r>
    </w:p>
    <w:p>
      <w:pPr>
        <w:pStyle w:val="ListNumber"/>
      </w:pPr>
      <w:r>
        <w:t>Create permission inventory, route inventory, test matrix, and review checklist.</w:t>
      </w:r>
    </w:p>
    <w:p>
      <w:pPr>
        <w:pStyle w:val="Heading1"/>
      </w:pPr>
      <w:r>
        <w:t>12. Existing Project Refactoring Guide</w:t>
      </w:r>
    </w:p>
    <w:p>
      <w:r>
        <w:t>Existing applications need a migration path, not a blind rewrite. The AI Coding Companion should inventory current checks, preserve valid behavior, map legacy roles to categories, map legacy conditions to permissions, centralize enforcement incrementally, and add negative tests before removing old checks.</w:t>
      </w:r>
    </w:p>
    <w:p>
      <w:pPr>
        <w:pStyle w:val="ListNumber"/>
      </w:pPr>
      <w:r>
        <w:t>Inventory current roles, checks, middleware, policies, admin screens, APIs, tests, seeds, and audit logs.</w:t>
      </w:r>
    </w:p>
    <w:p>
      <w:pPr>
        <w:pStyle w:val="ListNumber"/>
      </w:pPr>
      <w:r>
        <w:t>Classify routes and endpoints.</w:t>
      </w:r>
    </w:p>
    <w:p>
      <w:pPr>
        <w:pStyle w:val="ListNumber"/>
      </w:pPr>
      <w:r>
        <w:t>Map legacy roles to universal role categories.</w:t>
      </w:r>
    </w:p>
    <w:p>
      <w:pPr>
        <w:pStyle w:val="ListNumber"/>
      </w:pPr>
      <w:r>
        <w:t>Map legacy checks to resource.action permissions.</w:t>
      </w:r>
    </w:p>
    <w:p>
      <w:pPr>
        <w:pStyle w:val="ListNumber"/>
      </w:pPr>
      <w:r>
        <w:t>Identify tenant, project, owner, and resource boundaries.</w:t>
      </w:r>
    </w:p>
    <w:p>
      <w:pPr>
        <w:pStyle w:val="ListNumber"/>
      </w:pPr>
      <w:r>
        <w:t>Identify high-risk gaps such as frontend-only authorization, guessed ID access, missing tenant filters, dev routes in production, and unaudited role changes.</w:t>
      </w:r>
    </w:p>
    <w:p>
      <w:pPr>
        <w:pStyle w:val="ListNumber"/>
      </w:pPr>
      <w:r>
        <w:t>Create compatibility shims where needed.</w:t>
      </w:r>
    </w:p>
    <w:p>
      <w:pPr>
        <w:pStyle w:val="ListNumber"/>
      </w:pPr>
      <w:r>
        <w:t>Migrate one vertical slice at a time.</w:t>
      </w:r>
    </w:p>
    <w:p>
      <w:pPr>
        <w:pStyle w:val="ListNumber"/>
      </w:pPr>
      <w:r>
        <w:t>Add positive and negative tests before removing legacy checks.</w:t>
      </w:r>
    </w:p>
    <w:p>
      <w:pPr>
        <w:pStyle w:val="ListNumber"/>
      </w:pPr>
      <w:r>
        <w:t>Update documentation and inventories.</w:t>
      </w:r>
    </w:p>
    <w:p>
      <w:pPr>
        <w:pStyle w:val="Heading1"/>
      </w:pPr>
      <w:r>
        <w:t>13. Testing and Review</w:t>
      </w:r>
    </w:p>
    <w:p>
      <w:r>
        <w:t>Access-control testing must prove both legitimate access and denial behavior. A feature without negative authorization tests is incomplete if it introduces or changes protected behavior.</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rPr>
              <w:t>Test Category</w:t>
            </w:r>
          </w:p>
        </w:tc>
        <w:tc>
          <w:tcPr>
            <w:tcW w:type="dxa" w:w="5083"/>
            <w:shd w:fill="D9EAF7"/>
          </w:tcPr>
          <w:p>
            <w:r>
              <w:rPr>
                <w:b/>
              </w:rPr>
              <w:t>Expected Proof</w:t>
            </w:r>
          </w:p>
        </w:tc>
      </w:tr>
      <w:tr>
        <w:tc>
          <w:tcPr>
            <w:tcW w:type="dxa" w:w="5083"/>
            <w:vAlign w:val="top"/>
          </w:tcPr>
          <w:p>
            <w:r>
              <w:t>Permission allow</w:t>
            </w:r>
          </w:p>
        </w:tc>
        <w:tc>
          <w:tcPr>
            <w:tcW w:type="dxa" w:w="5083"/>
            <w:vAlign w:val="top"/>
          </w:tcPr>
          <w:p>
            <w:r>
              <w:t>Actor with permission can perform operation in scope.</w:t>
            </w:r>
          </w:p>
        </w:tc>
      </w:tr>
      <w:tr>
        <w:tc>
          <w:tcPr>
            <w:tcW w:type="dxa" w:w="5083"/>
            <w:vAlign w:val="top"/>
          </w:tcPr>
          <w:p>
            <w:r>
              <w:t>Permission deny</w:t>
            </w:r>
          </w:p>
        </w:tc>
        <w:tc>
          <w:tcPr>
            <w:tcW w:type="dxa" w:w="5083"/>
            <w:vAlign w:val="top"/>
          </w:tcPr>
          <w:p>
            <w:r>
              <w:t>Actor without permission cannot perform operation.</w:t>
            </w:r>
          </w:p>
        </w:tc>
      </w:tr>
      <w:tr>
        <w:tc>
          <w:tcPr>
            <w:tcW w:type="dxa" w:w="5083"/>
            <w:vAlign w:val="top"/>
          </w:tcPr>
          <w:p>
            <w:r>
              <w:t>Scope deny</w:t>
            </w:r>
          </w:p>
        </w:tc>
        <w:tc>
          <w:tcPr>
            <w:tcW w:type="dxa" w:w="5083"/>
            <w:vAlign w:val="top"/>
          </w:tcPr>
          <w:p>
            <w:r>
              <w:t>Actor cannot use a valid permission outside assigned scope.</w:t>
            </w:r>
          </w:p>
        </w:tc>
      </w:tr>
      <w:tr>
        <w:tc>
          <w:tcPr>
            <w:tcW w:type="dxa" w:w="5083"/>
            <w:vAlign w:val="top"/>
          </w:tcPr>
          <w:p>
            <w:r>
              <w:t>Cross-tenant/cross-project</w:t>
            </w:r>
          </w:p>
        </w:tc>
        <w:tc>
          <w:tcPr>
            <w:tcW w:type="dxa" w:w="5083"/>
            <w:vAlign w:val="top"/>
          </w:tcPr>
          <w:p>
            <w:r>
              <w:t>Guessed IDs and foreign resources are denied.</w:t>
            </w:r>
          </w:p>
        </w:tc>
      </w:tr>
      <w:tr>
        <w:tc>
          <w:tcPr>
            <w:tcW w:type="dxa" w:w="5083"/>
            <w:vAlign w:val="top"/>
          </w:tcPr>
          <w:p>
            <w:r>
              <w:t>UI/server parity</w:t>
            </w:r>
          </w:p>
        </w:tc>
        <w:tc>
          <w:tcPr>
            <w:tcW w:type="dxa" w:w="5083"/>
            <w:vAlign w:val="top"/>
          </w:tcPr>
          <w:p>
            <w:r>
              <w:t>Hidden UI action is still denied server-side.</w:t>
            </w:r>
          </w:p>
        </w:tc>
      </w:tr>
      <w:tr>
        <w:tc>
          <w:tcPr>
            <w:tcW w:type="dxa" w:w="5083"/>
            <w:vAlign w:val="top"/>
          </w:tcPr>
          <w:p>
            <w:r>
              <w:t>Role assignment</w:t>
            </w:r>
          </w:p>
        </w:tc>
        <w:tc>
          <w:tcPr>
            <w:tcW w:type="dxa" w:w="5083"/>
            <w:vAlign w:val="top"/>
          </w:tcPr>
          <w:p>
            <w:r>
              <w:t>Actors cannot assign roles above their authority.</w:t>
            </w:r>
          </w:p>
        </w:tc>
      </w:tr>
      <w:tr>
        <w:tc>
          <w:tcPr>
            <w:tcW w:type="dxa" w:w="5083"/>
            <w:vAlign w:val="top"/>
          </w:tcPr>
          <w:p>
            <w:r>
              <w:t>API token</w:t>
            </w:r>
          </w:p>
        </w:tc>
        <w:tc>
          <w:tcPr>
            <w:tcW w:type="dxa" w:w="5083"/>
            <w:vAlign w:val="top"/>
          </w:tcPr>
          <w:p>
            <w:r>
              <w:t>Machine credentials cannot exceed explicit grants.</w:t>
            </w:r>
          </w:p>
        </w:tc>
      </w:tr>
      <w:tr>
        <w:tc>
          <w:tcPr>
            <w:tcW w:type="dxa" w:w="5083"/>
            <w:vAlign w:val="top"/>
          </w:tcPr>
          <w:p>
            <w:r>
              <w:t>Audit</w:t>
            </w:r>
          </w:p>
        </w:tc>
        <w:tc>
          <w:tcPr>
            <w:tcW w:type="dxa" w:w="5083"/>
            <w:vAlign w:val="top"/>
          </w:tcPr>
          <w:p>
            <w:r>
              <w:t>Privileged success and denial events are logged.</w:t>
            </w:r>
          </w:p>
        </w:tc>
      </w:tr>
      <w:tr>
        <w:tc>
          <w:tcPr>
            <w:tcW w:type="dxa" w:w="5083"/>
            <w:vAlign w:val="top"/>
          </w:tcPr>
          <w:p>
            <w:r>
              <w:t>Dev-only</w:t>
            </w:r>
          </w:p>
        </w:tc>
        <w:tc>
          <w:tcPr>
            <w:tcW w:type="dxa" w:w="5083"/>
            <w:vAlign w:val="top"/>
          </w:tcPr>
          <w:p>
            <w:r>
              <w:t>Dev routes are disabled in production.</w:t>
            </w:r>
          </w:p>
        </w:tc>
      </w:tr>
      <w:tr>
        <w:tc>
          <w:tcPr>
            <w:tcW w:type="dxa" w:w="5083"/>
            <w:vAlign w:val="top"/>
          </w:tcPr>
          <w:p>
            <w:r>
              <w:t>Refactor safety</w:t>
            </w:r>
          </w:p>
        </w:tc>
        <w:tc>
          <w:tcPr>
            <w:tcW w:type="dxa" w:w="5083"/>
            <w:vAlign w:val="top"/>
          </w:tcPr>
          <w:p>
            <w:r>
              <w:t>Valid legacy behavior preserved or intentionally migrated.</w:t>
            </w:r>
          </w:p>
        </w:tc>
      </w:tr>
    </w:tbl>
    <w:p/>
    <w:p>
      <w:pPr>
        <w:pStyle w:val="Heading1"/>
      </w:pPr>
      <w:r>
        <w:t>14. Required Repository Artifacts</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rPr>
              <w:t>File</w:t>
            </w:r>
          </w:p>
        </w:tc>
        <w:tc>
          <w:tcPr>
            <w:tcW w:type="dxa" w:w="5083"/>
            <w:shd w:fill="D9EAF7"/>
          </w:tcPr>
          <w:p>
            <w:r>
              <w:rPr>
                <w:b/>
              </w:rPr>
              <w:t>Purpose</w:t>
            </w:r>
          </w:p>
        </w:tc>
      </w:tr>
      <w:tr>
        <w:tc>
          <w:tcPr>
            <w:tcW w:type="dxa" w:w="5083"/>
            <w:vAlign w:val="top"/>
          </w:tcPr>
          <w:p>
            <w:r>
              <w:t>access-control-reference.md</w:t>
            </w:r>
          </w:p>
        </w:tc>
        <w:tc>
          <w:tcPr>
            <w:tcW w:type="dxa" w:w="5083"/>
            <w:vAlign w:val="top"/>
          </w:tcPr>
          <w:p>
            <w:r>
              <w:t>Operational source of truth for AI Coding Companions.</w:t>
            </w:r>
          </w:p>
        </w:tc>
      </w:tr>
      <w:tr>
        <w:tc>
          <w:tcPr>
            <w:tcW w:type="dxa" w:w="5083"/>
            <w:vAlign w:val="top"/>
          </w:tcPr>
          <w:p>
            <w:r>
              <w:t>access-control-mapping.md</w:t>
            </w:r>
          </w:p>
        </w:tc>
        <w:tc>
          <w:tcPr>
            <w:tcW w:type="dxa" w:w="5083"/>
            <w:vAlign w:val="top"/>
          </w:tcPr>
          <w:p>
            <w:r>
              <w:t>Project-specific adapter/mapping of the universal model.</w:t>
            </w:r>
          </w:p>
        </w:tc>
      </w:tr>
      <w:tr>
        <w:tc>
          <w:tcPr>
            <w:tcW w:type="dxa" w:w="5083"/>
            <w:vAlign w:val="top"/>
          </w:tcPr>
          <w:p>
            <w:r>
              <w:t>access-control-permission-inventory.md</w:t>
            </w:r>
          </w:p>
        </w:tc>
        <w:tc>
          <w:tcPr>
            <w:tcW w:type="dxa" w:w="5083"/>
            <w:vAlign w:val="top"/>
          </w:tcPr>
          <w:p>
            <w:r>
              <w:t>List of permission keys, scope types, risks, and coverage.</w:t>
            </w:r>
          </w:p>
        </w:tc>
      </w:tr>
      <w:tr>
        <w:tc>
          <w:tcPr>
            <w:tcW w:type="dxa" w:w="5083"/>
            <w:vAlign w:val="top"/>
          </w:tcPr>
          <w:p>
            <w:r>
              <w:t>access-control-route-inventory.md</w:t>
            </w:r>
          </w:p>
        </w:tc>
        <w:tc>
          <w:tcPr>
            <w:tcW w:type="dxa" w:w="5083"/>
            <w:vAlign w:val="top"/>
          </w:tcPr>
          <w:p>
            <w:r>
              <w:t>Route, endpoint, command, job, export, and dev-tool classification.</w:t>
            </w:r>
          </w:p>
        </w:tc>
      </w:tr>
      <w:tr>
        <w:tc>
          <w:tcPr>
            <w:tcW w:type="dxa" w:w="5083"/>
            <w:vAlign w:val="top"/>
          </w:tcPr>
          <w:p>
            <w:r>
              <w:t>access-control-test-matrix.md</w:t>
            </w:r>
          </w:p>
        </w:tc>
        <w:tc>
          <w:tcPr>
            <w:tcW w:type="dxa" w:w="5083"/>
            <w:vAlign w:val="top"/>
          </w:tcPr>
          <w:p>
            <w:r>
              <w:t>Required positive and negative test coverage.</w:t>
            </w:r>
          </w:p>
        </w:tc>
      </w:tr>
      <w:tr>
        <w:tc>
          <w:tcPr>
            <w:tcW w:type="dxa" w:w="5083"/>
            <w:vAlign w:val="top"/>
          </w:tcPr>
          <w:p>
            <w:r>
              <w:t>access-control-review-checklist.md</w:t>
            </w:r>
          </w:p>
        </w:tc>
        <w:tc>
          <w:tcPr>
            <w:tcW w:type="dxa" w:w="5083"/>
            <w:vAlign w:val="top"/>
          </w:tcPr>
          <w:p>
            <w:r>
              <w:t>Human/AI acceptance checklist.</w:t>
            </w:r>
          </w:p>
        </w:tc>
      </w:tr>
      <w:tr>
        <w:tc>
          <w:tcPr>
            <w:tcW w:type="dxa" w:w="5083"/>
            <w:vAlign w:val="top"/>
          </w:tcPr>
          <w:p>
            <w:r>
              <w:t>access-control-new-implementation.md</w:t>
            </w:r>
          </w:p>
        </w:tc>
        <w:tc>
          <w:tcPr>
            <w:tcW w:type="dxa" w:w="5083"/>
            <w:vAlign w:val="top"/>
          </w:tcPr>
          <w:p>
            <w:r>
              <w:t>Prompt for new-project implementation.</w:t>
            </w:r>
          </w:p>
        </w:tc>
      </w:tr>
      <w:tr>
        <w:tc>
          <w:tcPr>
            <w:tcW w:type="dxa" w:w="5083"/>
            <w:vAlign w:val="top"/>
          </w:tcPr>
          <w:p>
            <w:r>
              <w:t>access-control-refactoring.md</w:t>
            </w:r>
          </w:p>
        </w:tc>
        <w:tc>
          <w:tcPr>
            <w:tcW w:type="dxa" w:w="5083"/>
            <w:vAlign w:val="top"/>
          </w:tcPr>
          <w:p>
            <w:r>
              <w:t>Prompt for existing-project migration/refactoring.</w:t>
            </w:r>
          </w:p>
        </w:tc>
      </w:tr>
    </w:tbl>
    <w:p/>
    <w:p>
      <w:pPr>
        <w:pStyle w:val="Heading1"/>
      </w:pPr>
      <w:r>
        <w:t>15. AGENTS.md Enforcement</w:t>
      </w:r>
    </w:p>
    <w:p>
      <w:r>
        <w:t>AGENTS.md should require AI Coding Companions to read the access-control reference and mapping before modifying access-control-related code. It should also require route classification, backend enforcement, audit logging for privileged operations, positive and negative tests, and documentation updates. This prevents agents from casually adding is_admin checks or frontend-only visibility conditions.</w:t>
      </w:r>
    </w:p>
    <w:p>
      <w:pPr>
        <w:pStyle w:val="Heading1"/>
      </w:pPr>
      <w:r>
        <w:t>16. Anti-Patterns</w:t>
      </w:r>
    </w:p>
    <w:p>
      <w:pPr>
        <w:pStyle w:val="ListBullet"/>
      </w:pPr>
      <w:r>
        <w:t>Checking only is_admin everywhere.</w:t>
      </w:r>
    </w:p>
    <w:p>
      <w:pPr>
        <w:pStyle w:val="ListBullet"/>
      </w:pPr>
      <w:r>
        <w:t>Storing permissions only in frontend code.</w:t>
      </w:r>
    </w:p>
    <w:p>
      <w:pPr>
        <w:pStyle w:val="ListBullet"/>
      </w:pPr>
      <w:r>
        <w:t>Relying on hidden buttons as security.</w:t>
      </w:r>
    </w:p>
    <w:p>
      <w:pPr>
        <w:pStyle w:val="ListBullet"/>
      </w:pPr>
      <w:r>
        <w:t>Trusting tenant IDs, owner IDs, or project IDs from request input.</w:t>
      </w:r>
    </w:p>
    <w:p>
      <w:pPr>
        <w:pStyle w:val="ListBullet"/>
      </w:pPr>
      <w:r>
        <w:t>Giving support users unrestricted tenant data access.</w:t>
      </w:r>
    </w:p>
    <w:p>
      <w:pPr>
        <w:pStyle w:val="ListBullet"/>
      </w:pPr>
      <w:r>
        <w:t>Allowing tenant admins to assign platform roles.</w:t>
      </w:r>
    </w:p>
    <w:p>
      <w:pPr>
        <w:pStyle w:val="ListBullet"/>
      </w:pPr>
      <w:r>
        <w:t>Mixing billing, security, support, export, and role assignment into one broad role.</w:t>
      </w:r>
    </w:p>
    <w:p>
      <w:pPr>
        <w:pStyle w:val="ListBullet"/>
      </w:pPr>
      <w:r>
        <w:t>Adding routes before classifying access requirements.</w:t>
      </w:r>
    </w:p>
    <w:p>
      <w:pPr>
        <w:pStyle w:val="ListBullet"/>
      </w:pPr>
      <w:r>
        <w:t>Creating one-off roles for every customer request.</w:t>
      </w:r>
    </w:p>
    <w:p>
      <w:pPr>
        <w:pStyle w:val="ListBullet"/>
      </w:pPr>
      <w:r>
        <w:t>Allowing API tokens to inherit unlimited human permissions.</w:t>
      </w:r>
    </w:p>
    <w:p>
      <w:pPr>
        <w:pStyle w:val="ListBullet"/>
      </w:pPr>
      <w:r>
        <w:t>Exposing dev/debug routes in production.</w:t>
      </w:r>
    </w:p>
    <w:p>
      <w:pPr>
        <w:pStyle w:val="ListBullet"/>
      </w:pPr>
      <w:r>
        <w:t>Implementing impersonation without visible UI state and audit logs.</w:t>
      </w:r>
    </w:p>
    <w:p>
      <w:pPr>
        <w:pStyle w:val="ListBullet"/>
      </w:pPr>
      <w:r>
        <w:t>Merging protected features without negative authorization tests.</w:t>
      </w:r>
    </w:p>
    <w:p>
      <w:pPr>
        <w:pStyle w:val="Heading1"/>
      </w:pPr>
      <w:r>
        <w:t>17. Final Standard</w:t>
      </w:r>
    </w:p>
    <w:p>
      <w:r>
        <w:t>An application is access-control compliant only when authorization is centralized, deny-by-default, scoped where scope exists, policy-aware where context matters, audited for privileged operations, reflected in the UI, enforced server-side on every protected operation, and proven by tests. Roles are administrative conveniences. Permissions are enforceable grants. Scopes define where grants apply. Policies decide whether grants apply in context. Capabilities reflect decisions in the UI. The backend enforces decisions. The audit log records important events. Tests prove correctness.</w:t>
      </w:r>
    </w:p>
    <w:sectPr w:rsidR="00FC693F" w:rsidRPr="0006063C" w:rsidSect="00034616">
      <w:footerReference w:type="default" r:id="rId9"/>
      <w:pgSz w:w="12240" w:h="15840"/>
      <w:pgMar w:top="1008" w:right="1037" w:bottom="1008"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Universal Access Control Foundation Manual | Version 1.0-Universal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