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UNIVERSAL COMPOSABLE API FOUNDATION</w:t>
      </w:r>
    </w:p>
    <w:p>
      <w:pPr>
        <w:jc w:val="center"/>
      </w:pPr>
      <w:r>
        <w:rPr>
          <w:i/>
          <w:sz w:val="28"/>
        </w:rPr>
        <w:t>Contract-First, Event-Driven, Hexagonal API Architecture Manual</w:t>
      </w:r>
    </w:p>
    <w:p>
      <w:pPr>
        <w:jc w:val="center"/>
      </w:pPr>
      <w:r>
        <w:rPr>
          <w:sz w:val="22"/>
        </w:rPr>
        <w:t>Version 1.0-Universal | Generic Across New and Existing Projects</w:t>
      </w:r>
    </w:p>
    <w:p>
      <w:pPr>
        <w:jc w:val="center"/>
      </w:pPr>
      <w:r>
        <w:rPr>
          <w:sz w:val="20"/>
        </w:rPr>
        <w:t>Audience: Human Architects, Product Leaders, Technical Reviewers, and AI Coding Agents</w:t>
      </w:r>
    </w:p>
    <w:p/>
    <w:p>
      <w:pPr>
        <w:jc w:val="center"/>
      </w:pPr>
      <w:r>
        <w:rPr>
          <w:b/>
        </w:rPr>
        <w:t xml:space="preserve">Purpose. </w:t>
      </w:r>
      <w:r>
        <w:t>This manual defines a reusable API foundation that can be applied to new applications and existing applications that require review or refactoring. It decouples the business core from transport, framework, broker, database, gateway, and cloud choices while supporting contract-first APIs, event-driven architecture, hexagonal design, validation, security, observability, and AI-assisted implementation governance.</w:t>
      </w:r>
    </w:p>
    <w:p>
      <w:r>
        <w:br w:type="page"/>
      </w:r>
    </w:p>
    <w:p>
      <w:pPr>
        <w:pStyle w:val="Heading1"/>
      </w:pPr>
      <w:r>
        <w:t>1. Executive Summary</w:t>
      </w:r>
    </w:p>
    <w:p>
      <w:r>
        <w:t>The Universal Composable API Foundation converts API construction into a disciplined architectural system. It is not a framework and it is not limited to SaaS. It applies to public APIs, internal APIs, modular monoliths, background job systems, event-driven integrations, webhooks, service-to-service flows, and platform ecosystems.</w:t>
      </w:r>
    </w:p>
    <w:p>
      <w:r>
        <w:t>The central idea is that contracts, ports, adapters, events, validation, security, and observability must be treated as first-class design objects. HTTP controllers, queue consumers, webhooks, and CLI commands are boundary adapters. They translate external inputs into application commands; they do not contain the core business logic.</w:t>
      </w:r>
    </w:p>
    <w:p>
      <w:r>
        <w:t>This foundation preserves technology flexibility while creating implementation discipline. OpenAPI describes HTTP APIs. AsyncAPI describes event and message-driven APIs. OIDC and OAuth 2.0 can be used for identity and delegated authorization where appropriate. OPA or another policy-as-code mechanism can govern cross-stack policy where the project requires language-neutral enforcement. None of these tools are mandatory in every project, but the foundation makes room for them without hard-coding the core to one vendor or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
              <w:rPr>
                <w:b/>
                <w:color w:val="FFFFFF"/>
              </w:rPr>
              <w:t>Layer</w:t>
            </w:r>
          </w:p>
        </w:tc>
        <w:tc>
          <w:tcPr>
            <w:tcW w:type="dxa" w:w="3360"/>
            <w:shd w:fill="1F4E79"/>
            <w:vAlign w:val="center"/>
          </w:tcPr>
          <w:p>
            <w:r/>
            <w:r>
              <w:rPr>
                <w:b/>
                <w:color w:val="FFFFFF"/>
              </w:rPr>
              <w:t>Purpose</w:t>
            </w:r>
          </w:p>
        </w:tc>
        <w:tc>
          <w:tcPr>
            <w:tcW w:type="dxa" w:w="3360"/>
            <w:shd w:fill="1F4E79"/>
            <w:vAlign w:val="center"/>
          </w:tcPr>
          <w:p>
            <w:r/>
            <w:r>
              <w:rPr>
                <w:b/>
                <w:color w:val="FFFFFF"/>
              </w:rPr>
              <w:t>Examples</w:t>
            </w:r>
          </w:p>
        </w:tc>
      </w:tr>
      <w:tr>
        <w:tc>
          <w:tcPr>
            <w:tcW w:type="dxa" w:w="3360"/>
            <w:vAlign w:val="top"/>
          </w:tcPr>
          <w:p>
            <w:r/>
            <w:r>
              <w:rPr>
                <w:b w:val="0"/>
              </w:rPr>
              <w:t>Contract</w:t>
            </w:r>
          </w:p>
        </w:tc>
        <w:tc>
          <w:tcPr>
            <w:tcW w:type="dxa" w:w="3360"/>
            <w:vAlign w:val="top"/>
          </w:tcPr>
          <w:p>
            <w:r/>
            <w:r>
              <w:rPr>
                <w:b w:val="0"/>
              </w:rPr>
              <w:t>Formal source of truth for API and message behavior.</w:t>
            </w:r>
          </w:p>
        </w:tc>
        <w:tc>
          <w:tcPr>
            <w:tcW w:type="dxa" w:w="3360"/>
            <w:vAlign w:val="top"/>
          </w:tcPr>
          <w:p>
            <w:r/>
            <w:r>
              <w:rPr>
                <w:b w:val="0"/>
              </w:rPr>
              <w:t>OpenAPI, AsyncAPI, JSON Schema, examples.</w:t>
            </w:r>
          </w:p>
        </w:tc>
      </w:tr>
      <w:tr>
        <w:tc>
          <w:tcPr>
            <w:tcW w:type="dxa" w:w="3360"/>
            <w:vAlign w:val="top"/>
          </w:tcPr>
          <w:p>
            <w:r/>
            <w:r>
              <w:rPr>
                <w:b w:val="0"/>
              </w:rPr>
              <w:t>Boundary</w:t>
            </w:r>
          </w:p>
        </w:tc>
        <w:tc>
          <w:tcPr>
            <w:tcW w:type="dxa" w:w="3360"/>
            <w:vAlign w:val="top"/>
          </w:tcPr>
          <w:p>
            <w:r/>
            <w:r>
              <w:rPr>
                <w:b w:val="0"/>
              </w:rPr>
              <w:t>Entry/exit points.</w:t>
            </w:r>
          </w:p>
        </w:tc>
        <w:tc>
          <w:tcPr>
            <w:tcW w:type="dxa" w:w="3360"/>
            <w:vAlign w:val="top"/>
          </w:tcPr>
          <w:p>
            <w:r/>
            <w:r>
              <w:rPr>
                <w:b w:val="0"/>
              </w:rPr>
              <w:t>Routes, handlers, webhooks, consumers, jobs, CLI commands.</w:t>
            </w:r>
          </w:p>
        </w:tc>
      </w:tr>
      <w:tr>
        <w:tc>
          <w:tcPr>
            <w:tcW w:type="dxa" w:w="3360"/>
            <w:vAlign w:val="top"/>
          </w:tcPr>
          <w:p>
            <w:r/>
            <w:r>
              <w:rPr>
                <w:b w:val="0"/>
              </w:rPr>
              <w:t>Application</w:t>
            </w:r>
          </w:p>
        </w:tc>
        <w:tc>
          <w:tcPr>
            <w:tcW w:type="dxa" w:w="3360"/>
            <w:vAlign w:val="top"/>
          </w:tcPr>
          <w:p>
            <w:r/>
            <w:r>
              <w:rPr>
                <w:b w:val="0"/>
              </w:rPr>
              <w:t>Use-case orchestration.</w:t>
            </w:r>
          </w:p>
        </w:tc>
        <w:tc>
          <w:tcPr>
            <w:tcW w:type="dxa" w:w="3360"/>
            <w:vAlign w:val="top"/>
          </w:tcPr>
          <w:p>
            <w:r/>
            <w:r>
              <w:rPr>
                <w:b w:val="0"/>
              </w:rPr>
              <w:t>Create project, approve invoice, sync integration.</w:t>
            </w:r>
          </w:p>
        </w:tc>
      </w:tr>
      <w:tr>
        <w:tc>
          <w:tcPr>
            <w:tcW w:type="dxa" w:w="3360"/>
            <w:vAlign w:val="top"/>
          </w:tcPr>
          <w:p>
            <w:r/>
            <w:r>
              <w:rPr>
                <w:b w:val="0"/>
              </w:rPr>
              <w:t>Domain/Core</w:t>
            </w:r>
          </w:p>
        </w:tc>
        <w:tc>
          <w:tcPr>
            <w:tcW w:type="dxa" w:w="3360"/>
            <w:vAlign w:val="top"/>
          </w:tcPr>
          <w:p>
            <w:r/>
            <w:r>
              <w:rPr>
                <w:b w:val="0"/>
              </w:rPr>
              <w:t>Business rules independent from infrastructure.</w:t>
            </w:r>
          </w:p>
        </w:tc>
        <w:tc>
          <w:tcPr>
            <w:tcW w:type="dxa" w:w="3360"/>
            <w:vAlign w:val="top"/>
          </w:tcPr>
          <w:p>
            <w:r/>
            <w:r>
              <w:rPr>
                <w:b w:val="0"/>
              </w:rPr>
              <w:t>Pricing, lifecycle, eligibility, workflow invariants.</w:t>
            </w:r>
          </w:p>
        </w:tc>
      </w:tr>
      <w:tr>
        <w:tc>
          <w:tcPr>
            <w:tcW w:type="dxa" w:w="3360"/>
            <w:vAlign w:val="top"/>
          </w:tcPr>
          <w:p>
            <w:r/>
            <w:r>
              <w:rPr>
                <w:b w:val="0"/>
              </w:rPr>
              <w:t>Ports</w:t>
            </w:r>
          </w:p>
        </w:tc>
        <w:tc>
          <w:tcPr>
            <w:tcW w:type="dxa" w:w="3360"/>
            <w:vAlign w:val="top"/>
          </w:tcPr>
          <w:p>
            <w:r/>
            <w:r>
              <w:rPr>
                <w:b w:val="0"/>
              </w:rPr>
              <w:t>Interfaces needed by the core.</w:t>
            </w:r>
          </w:p>
        </w:tc>
        <w:tc>
          <w:tcPr>
            <w:tcW w:type="dxa" w:w="3360"/>
            <w:vAlign w:val="top"/>
          </w:tcPr>
          <w:p>
            <w:r/>
            <w:r>
              <w:rPr>
                <w:b w:val="0"/>
              </w:rPr>
              <w:t>Repository, event publisher, identity, storage.</w:t>
            </w:r>
          </w:p>
        </w:tc>
      </w:tr>
      <w:tr>
        <w:tc>
          <w:tcPr>
            <w:tcW w:type="dxa" w:w="3360"/>
            <w:vAlign w:val="top"/>
          </w:tcPr>
          <w:p>
            <w:r/>
            <w:r>
              <w:rPr>
                <w:b w:val="0"/>
              </w:rPr>
              <w:t>Adapters</w:t>
            </w:r>
          </w:p>
        </w:tc>
        <w:tc>
          <w:tcPr>
            <w:tcW w:type="dxa" w:w="3360"/>
            <w:vAlign w:val="top"/>
          </w:tcPr>
          <w:p>
            <w:r/>
            <w:r>
              <w:rPr>
                <w:b w:val="0"/>
              </w:rPr>
              <w:t>Technology-specific implementations.</w:t>
            </w:r>
          </w:p>
        </w:tc>
        <w:tc>
          <w:tcPr>
            <w:tcW w:type="dxa" w:w="3360"/>
            <w:vAlign w:val="top"/>
          </w:tcPr>
          <w:p>
            <w:r/>
            <w:r>
              <w:rPr>
                <w:b w:val="0"/>
              </w:rPr>
              <w:t>SQL, broker, gateway, cloud, SMTP, OAuth provider.</w:t>
            </w:r>
          </w:p>
        </w:tc>
      </w:tr>
      <w:tr>
        <w:tc>
          <w:tcPr>
            <w:tcW w:type="dxa" w:w="3360"/>
            <w:vAlign w:val="top"/>
          </w:tcPr>
          <w:p>
            <w:r/>
            <w:r>
              <w:rPr>
                <w:b w:val="0"/>
              </w:rPr>
              <w:t>Governance</w:t>
            </w:r>
          </w:p>
        </w:tc>
        <w:tc>
          <w:tcPr>
            <w:tcW w:type="dxa" w:w="3360"/>
            <w:vAlign w:val="top"/>
          </w:tcPr>
          <w:p>
            <w:r/>
            <w:r>
              <w:rPr>
                <w:b w:val="0"/>
              </w:rPr>
              <w:t>Cross-cutting control.</w:t>
            </w:r>
          </w:p>
        </w:tc>
        <w:tc>
          <w:tcPr>
            <w:tcW w:type="dxa" w:w="3360"/>
            <w:vAlign w:val="top"/>
          </w:tcPr>
          <w:p>
            <w:r/>
            <w:r>
              <w:rPr>
                <w:b w:val="0"/>
              </w:rPr>
              <w:t>Validation, auth, idempotency, observability, audit.</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File</w:t>
            </w:r>
          </w:p>
        </w:tc>
        <w:tc>
          <w:tcPr>
            <w:tcW w:type="dxa" w:w="5040"/>
            <w:shd w:fill="1F4E79"/>
            <w:vAlign w:val="center"/>
          </w:tcPr>
          <w:p>
            <w:r/>
            <w:r>
              <w:rPr>
                <w:b/>
                <w:color w:val="FFFFFF"/>
              </w:rPr>
              <w:t>Purpose</w:t>
            </w:r>
          </w:p>
        </w:tc>
      </w:tr>
      <w:tr>
        <w:tc>
          <w:tcPr>
            <w:tcW w:type="dxa" w:w="5040"/>
            <w:vAlign w:val="top"/>
          </w:tcPr>
          <w:p>
            <w:r/>
            <w:r>
              <w:rPr>
                <w:b w:val="0"/>
              </w:rPr>
              <w:t>/docs/specs/api-foundation-reference.md</w:t>
            </w:r>
          </w:p>
        </w:tc>
        <w:tc>
          <w:tcPr>
            <w:tcW w:type="dxa" w:w="5040"/>
            <w:vAlign w:val="top"/>
          </w:tcPr>
          <w:p>
            <w:r/>
            <w:r>
              <w:rPr>
                <w:b w:val="0"/>
              </w:rPr>
              <w:t>Agent-facing source of truth for API construction.</w:t>
            </w:r>
          </w:p>
        </w:tc>
      </w:tr>
      <w:tr>
        <w:tc>
          <w:tcPr>
            <w:tcW w:type="dxa" w:w="5040"/>
            <w:vAlign w:val="top"/>
          </w:tcPr>
          <w:p>
            <w:r/>
            <w:r>
              <w:rPr>
                <w:b w:val="0"/>
              </w:rPr>
              <w:t>/docs/specs/api-adapter.md</w:t>
            </w:r>
          </w:p>
        </w:tc>
        <w:tc>
          <w:tcPr>
            <w:tcW w:type="dxa" w:w="5040"/>
            <w:vAlign w:val="top"/>
          </w:tcPr>
          <w:p>
            <w:r/>
            <w:r>
              <w:rPr>
                <w:b w:val="0"/>
              </w:rPr>
              <w:t>Project-specific mapping of stack, paths, contracts, gateways, brokers, and tests.</w:t>
            </w:r>
          </w:p>
        </w:tc>
      </w:tr>
      <w:tr>
        <w:tc>
          <w:tcPr>
            <w:tcW w:type="dxa" w:w="5040"/>
            <w:vAlign w:val="top"/>
          </w:tcPr>
          <w:p>
            <w:r/>
            <w:r>
              <w:rPr>
                <w:b w:val="0"/>
              </w:rPr>
              <w:t>/docs/specs/api-contract-inventory.md</w:t>
            </w:r>
          </w:p>
        </w:tc>
        <w:tc>
          <w:tcPr>
            <w:tcW w:type="dxa" w:w="5040"/>
            <w:vAlign w:val="top"/>
          </w:tcPr>
          <w:p>
            <w:r/>
            <w:r>
              <w:rPr>
                <w:b w:val="0"/>
              </w:rPr>
              <w:t>Tracks contracts, schemas, versions, owners, consumers, and risk.</w:t>
            </w:r>
          </w:p>
        </w:tc>
      </w:tr>
      <w:tr>
        <w:tc>
          <w:tcPr>
            <w:tcW w:type="dxa" w:w="5040"/>
            <w:vAlign w:val="top"/>
          </w:tcPr>
          <w:p>
            <w:r/>
            <w:r>
              <w:rPr>
                <w:b w:val="0"/>
              </w:rPr>
              <w:t>/docs/specs/api-endpoint-inventory.md</w:t>
            </w:r>
          </w:p>
        </w:tc>
        <w:tc>
          <w:tcPr>
            <w:tcW w:type="dxa" w:w="5040"/>
            <w:vAlign w:val="top"/>
          </w:tcPr>
          <w:p>
            <w:r/>
            <w:r>
              <w:rPr>
                <w:b w:val="0"/>
              </w:rPr>
              <w:t>Tracks HTTP endpoints, classification, permissions, idempotency, status, and tests.</w:t>
            </w:r>
          </w:p>
        </w:tc>
      </w:tr>
      <w:tr>
        <w:tc>
          <w:tcPr>
            <w:tcW w:type="dxa" w:w="5040"/>
            <w:vAlign w:val="top"/>
          </w:tcPr>
          <w:p>
            <w:r/>
            <w:r>
              <w:rPr>
                <w:b w:val="0"/>
              </w:rPr>
              <w:t>/docs/specs/api-event-inventory.md</w:t>
            </w:r>
          </w:p>
        </w:tc>
        <w:tc>
          <w:tcPr>
            <w:tcW w:type="dxa" w:w="5040"/>
            <w:vAlign w:val="top"/>
          </w:tcPr>
          <w:p>
            <w:r/>
            <w:r>
              <w:rPr>
                <w:b w:val="0"/>
              </w:rPr>
              <w:t>Tracks events, commands, producers, consumers, schemas, retries, and DLQs.</w:t>
            </w:r>
          </w:p>
        </w:tc>
      </w:tr>
      <w:tr>
        <w:tc>
          <w:tcPr>
            <w:tcW w:type="dxa" w:w="5040"/>
            <w:vAlign w:val="top"/>
          </w:tcPr>
          <w:p>
            <w:r/>
            <w:r>
              <w:rPr>
                <w:b w:val="0"/>
              </w:rPr>
              <w:t>/docs/specs/api-test-matrix.md</w:t>
            </w:r>
          </w:p>
        </w:tc>
        <w:tc>
          <w:tcPr>
            <w:tcW w:type="dxa" w:w="5040"/>
            <w:vAlign w:val="top"/>
          </w:tcPr>
          <w:p>
            <w:r/>
            <w:r>
              <w:rPr>
                <w:b w:val="0"/>
              </w:rPr>
              <w:t>Tracks required API, contract, security, idempotency, and event tests.</w:t>
            </w:r>
          </w:p>
        </w:tc>
      </w:tr>
      <w:tr>
        <w:tc>
          <w:tcPr>
            <w:tcW w:type="dxa" w:w="5040"/>
            <w:vAlign w:val="top"/>
          </w:tcPr>
          <w:p>
            <w:r/>
            <w:r>
              <w:rPr>
                <w:b w:val="0"/>
              </w:rPr>
              <w:t>/docs/specs/api-review-checklist.md</w:t>
            </w:r>
          </w:p>
        </w:tc>
        <w:tc>
          <w:tcPr>
            <w:tcW w:type="dxa" w:w="5040"/>
            <w:vAlign w:val="top"/>
          </w:tcPr>
          <w:p>
            <w:r/>
            <w:r>
              <w:rPr>
                <w:b w:val="0"/>
              </w:rPr>
              <w:t>Acceptance checklist for implementation and review.</w:t>
            </w:r>
          </w:p>
        </w:tc>
      </w:tr>
    </w:tbl>
    <w:p/>
    <w:p>
      <w:pPr>
        <w:pStyle w:val="Heading1"/>
      </w:pPr>
      <w:r>
        <w:t>2. Design Goals</w:t>
      </w:r>
    </w:p>
    <w:p>
      <w:r>
        <w:t>The foundation must allow frontend and backend work to proceed in parallel by defining API contracts early. It must prevent raw external input from leaking into business logic. It must decouple core use cases from the framework, database, broker, gateway, cloud, and hosting model. It must support both synchronous request-response APIs and asynchronous event-driven workflows.</w:t>
      </w:r>
    </w:p>
    <w:p>
      <w:r>
        <w:t>The model is deliberately adjustable. A small internal tool may only need documented HTTP endpoints, centralized validation, a stable error shape, and basic route tests. A mature SaaS or platform product may need OpenAPI, AsyncAPI, an API gateway, OPA policies, broker adapters, outbox/inbox, idempotent consumers, dead-letter handling, schema compatibility checks, and consumer-driven contract tests.</w:t>
      </w:r>
    </w:p>
    <w:p>
      <w:pPr>
        <w:pStyle w:val="Heading1"/>
      </w:pPr>
      <w:r>
        <w:t>3. Technology Posture and Constraints</w:t>
      </w:r>
    </w:p>
    <w:p>
      <w:r>
        <w:t>The foundation is technology-agnostic, but it must respect project-level constraints. For the user standard, Node.js and Laravel are not allowed as the core backend application stack unless a project-specific exception is explicitly approved. This does not prohibit Node-based tools, documentation generators, API linters, frontend build tools, generated SDKs, or standalone modules when they do not become the core runtime. It also does not prohibit isolated Laravel/Illuminate components when used as packages rather than adopting Laravel as the application framework.</w:t>
      </w:r>
    </w:p>
    <w:p>
      <w:r>
        <w:t>The practical rule is simple: tools may accelerate the work, but they must not silently change the architectural center of gravity. If a dependency introduces a new runtime, framework, queue model, gateway model, or deployment expectation, the agent must document the reason and impact before introducing it.</w:t>
      </w:r>
    </w:p>
    <w:p>
      <w:pPr>
        <w:pStyle w:val="Heading1"/>
      </w:pPr>
      <w:r>
        <w:t>4. Contract-First Design</w:t>
      </w:r>
    </w:p>
    <w:p>
      <w:r>
        <w:t>Contract-first design means that external behavior is specified before or alongside implementation. The contract is the public promise; the implementation is an adapter that fulfills the promise. For HTTP APIs, OpenAPI is the preferred contract format. For event-driven flows, AsyncAPI is the preferred contract format. JSON Schema or a project-approved equivalent should define reusable payload schemas.</w:t>
      </w:r>
    </w:p>
    <w:p>
      <w:r>
        <w:t>A contract-first process improves parallel development, testability, client generation, documentation, security validation, and compatibility review. It also prevents an AI Coding Agent from inventing endpoint shapes or response structures on each pass. Every meaningful API change should update the contract, inventory, tests, and review checklist in the same implementation pass.</w:t>
      </w:r>
    </w:p>
    <w:p>
      <w:pPr>
        <w:pStyle w:val="Heading2"/>
      </w:pPr>
      <w:r>
        <w:t>HTTP Contract Minimum</w:t>
      </w:r>
    </w:p>
    <w:p>
      <w:pPr>
        <w:pStyle w:val="ListBullet"/>
      </w:pPr>
      <w:r>
        <w:t>paths and methods</w:t>
      </w:r>
    </w:p>
    <w:p>
      <w:pPr>
        <w:pStyle w:val="ListBullet"/>
      </w:pPr>
      <w:r>
        <w:t>request parameters and request bodies</w:t>
      </w:r>
    </w:p>
    <w:p>
      <w:pPr>
        <w:pStyle w:val="ListBullet"/>
      </w:pPr>
      <w:r>
        <w:t>response bodies and status codes</w:t>
      </w:r>
    </w:p>
    <w:p>
      <w:pPr>
        <w:pStyle w:val="ListBullet"/>
      </w:pPr>
      <w:r>
        <w:t>canonical error shape</w:t>
      </w:r>
    </w:p>
    <w:p>
      <w:pPr>
        <w:pStyle w:val="ListBullet"/>
      </w:pPr>
      <w:r>
        <w:t>auth and authorization requirements</w:t>
      </w:r>
    </w:p>
    <w:p>
      <w:pPr>
        <w:pStyle w:val="ListBullet"/>
      </w:pPr>
      <w:r>
        <w:t>pagination/filtering/sorting conventions</w:t>
      </w:r>
    </w:p>
    <w:p>
      <w:pPr>
        <w:pStyle w:val="ListBullet"/>
      </w:pPr>
      <w:r>
        <w:t>headers such as request ID, correlation ID, idempotency key, and rate-limit indicators</w:t>
      </w:r>
    </w:p>
    <w:p>
      <w:pPr>
        <w:pStyle w:val="ListBullet"/>
      </w:pPr>
      <w:r>
        <w:t>success and failure examples</w:t>
      </w:r>
    </w:p>
    <w:p>
      <w:pPr>
        <w:pStyle w:val="Heading2"/>
      </w:pPr>
      <w:r>
        <w:t>Event Contract Minimum</w:t>
      </w:r>
    </w:p>
    <w:p>
      <w:pPr>
        <w:pStyle w:val="ListBullet"/>
      </w:pPr>
      <w:r>
        <w:t>channels, topics, queues, or subjects</w:t>
      </w:r>
    </w:p>
    <w:p>
      <w:pPr>
        <w:pStyle w:val="ListBullet"/>
      </w:pPr>
      <w:r>
        <w:t>event/message names and versions</w:t>
      </w:r>
    </w:p>
    <w:p>
      <w:pPr>
        <w:pStyle w:val="ListBullet"/>
      </w:pPr>
      <w:r>
        <w:t>payload schemas and examples</w:t>
      </w:r>
    </w:p>
    <w:p>
      <w:pPr>
        <w:pStyle w:val="ListBullet"/>
      </w:pPr>
      <w:r>
        <w:t>producer and consumer ownership</w:t>
      </w:r>
    </w:p>
    <w:p>
      <w:pPr>
        <w:pStyle w:val="ListBullet"/>
      </w:pPr>
      <w:r>
        <w:t>correlation and causation identifiers</w:t>
      </w:r>
    </w:p>
    <w:p>
      <w:pPr>
        <w:pStyle w:val="ListBullet"/>
      </w:pPr>
      <w:r>
        <w:t>retry and dead-letter behavior</w:t>
      </w:r>
    </w:p>
    <w:p>
      <w:pPr>
        <w:pStyle w:val="ListBullet"/>
      </w:pPr>
      <w:r>
        <w:t>ordering and idempotency assumptions</w:t>
      </w:r>
    </w:p>
    <w:p>
      <w:pPr>
        <w:pStyle w:val="Heading1"/>
      </w:pPr>
      <w:r>
        <w:t>5. Event-Driven Architecture</w:t>
      </w:r>
    </w:p>
    <w:p>
      <w:r>
        <w:t>The event-driven layer exists to decouple time-consuming or multi-consumer workflows from synchronous request-response flows. When data enters the system, a use case may persist state and publish a domain event. Consumers may update projections, send notifications, synchronize integrations, generate reports, or dispatch webhooks without blocking the user-facing request.</w:t>
      </w:r>
    </w:p>
    <w:p>
      <w:r>
        <w:t>A message broker is an adapter, not the architecture itself. RabbitMQ, Kafka, NATS, database queues, Redis-compatible queues, cloud queues, and in-process dispatchers can all satisfy the event port at different maturity levels. The core should depend on an event publisher port, not directly on a broker SDK.</w:t>
      </w:r>
    </w:p>
    <w:p>
      <w:r>
        <w:t>Event-driven systems must be explicit about reliability. Use idempotent consumers, retry with backoff, dead-letter queues, poison-message handling, and outbox/inbox patterns when consistency matters. Do not claim exactly-once delivery unless the entire infrastructure and handler behavior supports that claim. Most systems should design for at-least-once delivery with idempotent processing.</w:t>
      </w:r>
    </w:p>
    <w:p>
      <w:pPr>
        <w:pStyle w:val="Heading1"/>
      </w:pPr>
      <w:r>
        <w:t>6. Hexagonal Architecture</w:t>
      </w:r>
    </w:p>
    <w:p>
      <w:r>
        <w:t>Hexagonal architecture, also called ports and adapters, protects the business core from infrastructure churn. The domain and application layers define what the system does. Ports define what the system needs from the outside world. Adapters connect those ports to HTTP, queues, databases, file systems, cloud services, identity providers, gateways, and third-party APIs.</w:t>
      </w:r>
    </w:p>
    <w:p>
      <w:r>
        <w:t>This matters because technology changes. A product may start with a local database and later move to PostgreSQL, object storage, a broker, a gateway, or a cloud queue. If the core logic imports those SDKs directly, the migration becomes expensive and dangerous. If the core depends on ports, the adapter changes while the use case remains stable.</w:t>
      </w:r>
    </w:p>
    <w:p>
      <w:pPr>
        <w:pStyle w:val="Heading1"/>
      </w:pPr>
      <w:r>
        <w:t>7. Zero-Trust API Boundary</w:t>
      </w:r>
    </w:p>
    <w:p>
      <w:r>
        <w:t>The boundary of an API must be treated as hostile. Every external input is untrusted until validated. Every protected action requires authentication and authorization. Every tenant, account, workspace, project, resource, file, job, export, and webhook must be checked against the correct scope when scope exists.</w:t>
      </w:r>
    </w:p>
    <w:p>
      <w:r>
        <w:t>A gateway such as Kong, Tyk, Envoy, Traefik, a reverse proxy, a custom front controller, or a service mesh may enforce part of the boundary. Gateway rules may handle TLS, rate limits, request size, token verification, routing, schema checks, request IDs, and logging. But the service must still enforce critical authorization and validation. The gateway is not a replacement for application security.</w:t>
      </w:r>
    </w:p>
    <w:p>
      <w:pPr>
        <w:pStyle w:val="Heading1"/>
      </w:pPr>
      <w:r>
        <w:t>8. Identity and Policy</w:t>
      </w:r>
    </w:p>
    <w:p>
      <w:r>
        <w:t>Authentication and authorization must be decoupled conceptually. Authentication identifies the actor. Authorization decides whether the actor can perform a specific action on a specific resource in a specific scope. OAuth 2.0 is suitable for delegated authorization flows. OpenID Connect adds identity/authentication semantics on top of OAuth 2.0. API keys, service accounts, signed requests, mTLS, and sessions may also be appropriate depending on the product.</w:t>
      </w:r>
    </w:p>
    <w:p>
      <w:r>
        <w:t>Policy as code becomes valuable when the same policy must be enforced across gateways, services, CI/CD, Kubernetes, or multiple languages. OPA/Rego is a common option. Smaller applications may keep policies in application code, but they should still be centralized, testable, and observable.</w:t>
      </w:r>
    </w:p>
    <w:p>
      <w:pPr>
        <w:pStyle w:val="Heading1"/>
      </w:pPr>
      <w:r>
        <w:t>9. Canonical HTTP API Rules</w:t>
      </w:r>
    </w:p>
    <w:p>
      <w:r>
        <w:t>HTTP APIs should use predictable resource naming, documented status codes, bounded pagination, stable filtering and sorting rules, request validation, response serialization, and a canonical error shape. Create, command, payment, workflow, export, and event-triggering endpoints should use idempotency keys when duplicate execution would be harmful.</w:t>
      </w:r>
    </w:p>
    <w:p>
      <w:r>
        <w:t>A professional API does not expose raw database rows, framework exceptions, stack traces, SQL errors, secret values, file paths, or internal policy details. It returns stable DTO-based responses and safe machine-readable errors.</w:t>
      </w:r>
    </w:p>
    <w:p>
      <w:pPr>
        <w:pStyle w:val="Heading2"/>
      </w:pPr>
      <w:r>
        <w:t>Canonical Error Shape</w:t>
      </w:r>
    </w:p>
    <w:p>
      <w:pPr>
        <w:spacing w:after="160"/>
        <w:ind w:left="360"/>
      </w:pPr>
      <w:r>
        <w:rPr>
          <w:rFonts w:ascii="Courier New" w:hAnsi="Courier New"/>
          <w:sz w:val="18"/>
        </w:rPr>
        <w:t>{</w:t>
        <w:br/>
        <w:t xml:space="preserve">  "error": {</w:t>
        <w:br/>
        <w:t xml:space="preserve">    "code": "validation_failed",</w:t>
        <w:br/>
        <w:t xml:space="preserve">    "message": "The request contains invalid fields.",</w:t>
        <w:br/>
        <w:t xml:space="preserve">    "details": [{"field": "email", "reason": "invalid_format"}],</w:t>
        <w:br/>
        <w:t xml:space="preserve">    "request_id": "req_...",</w:t>
        <w:br/>
        <w:t xml:space="preserve">    "correlation_id": "corr_..."</w:t>
        <w:br/>
        <w:t xml:space="preserve">  }</w:t>
        <w:br/>
        <w:t>}</w:t>
      </w:r>
    </w:p>
    <w:p>
      <w:pPr>
        <w:pStyle w:val="Heading1"/>
      </w:pPr>
      <w:r>
        <w:t>10. Canonical Event Rules</w:t>
      </w:r>
    </w:p>
    <w:p>
      <w:r>
        <w:t>Events should have stable names, explicit versions, schema-backed payloads, and an envelope that includes event ID, event name, event version, occurrence time, producer, actor or service identity, tenant/scope context where applicable, correlation ID, causation ID, idempotency key, payload, and metadata.</w:t>
      </w:r>
    </w:p>
    <w:p>
      <w:r>
        <w:t>Domain events describe facts that already happened. Commands request work. Integration events are external or cross-boundary promises and therefore require stronger compatibility governance. System events describe operational facts. Mixing these concepts carelessly leads to unclear behavior and brittle consumers.</w:t>
      </w:r>
    </w:p>
    <w:p>
      <w:pPr>
        <w:pStyle w:val="Heading2"/>
      </w:pPr>
      <w:r>
        <w:t>Standard Event Envelope</w:t>
      </w:r>
    </w:p>
    <w:p>
      <w:pPr>
        <w:spacing w:after="160"/>
        <w:ind w:left="360"/>
      </w:pPr>
      <w:r>
        <w:rPr>
          <w:rFonts w:ascii="Courier New" w:hAnsi="Courier New"/>
          <w:sz w:val="18"/>
        </w:rPr>
        <w:t>{</w:t>
        <w:br/>
        <w:t xml:space="preserve">  "event_id": "evt_...",</w:t>
        <w:br/>
        <w:t xml:space="preserve">  "event_name": "projects.created.v1",</w:t>
        <w:br/>
        <w:t xml:space="preserve">  "event_version": 1,</w:t>
        <w:br/>
        <w:t xml:space="preserve">  "occurred_at": "2026-05-03T21:00:00Z",</w:t>
        <w:br/>
        <w:t xml:space="preserve">  "producer": "project-service",</w:t>
        <w:br/>
        <w:t xml:space="preserve">  "tenant_id": "ten_...",</w:t>
        <w:br/>
        <w:t xml:space="preserve">  "actor_id": "usr_...",</w:t>
        <w:br/>
        <w:t xml:space="preserve">  "correlation_id": "corr_...",</w:t>
        <w:br/>
        <w:t xml:space="preserve">  "causation_id": "cmd_...",</w:t>
        <w:br/>
        <w:t xml:space="preserve">  "payload": {},</w:t>
        <w:br/>
        <w:t xml:space="preserve">  "metadata": {}</w:t>
        <w:br/>
        <w:t>}</w:t>
      </w:r>
    </w:p>
    <w:p>
      <w:pPr>
        <w:pStyle w:val="Heading1"/>
      </w:pPr>
      <w:r>
        <w:t>11. Repository Documentation Package</w:t>
      </w:r>
    </w:p>
    <w:p>
      <w:r>
        <w:t>The repository-facing package should live under /docs/specs. The primary reference is api-foundation-reference.md. The project-specific adapter is api-adapter.md. Inventories track contracts, endpoints, events, and tests. The review checklist defines acceptance criteria. Prompt files guide AI agents through new implementation and existing-project refactoring.</w:t>
      </w:r>
    </w:p>
    <w:p>
      <w:r>
        <w:t>These files are not paperwork. They are control surfaces for AI-assisted engineering. They prevent agents from inventing new API styles, ignoring contracts, bypassing validation, or scattering business logic across controllers and consumers.</w:t>
      </w:r>
    </w:p>
    <w:p>
      <w:pPr>
        <w:pStyle w:val="Heading2"/>
      </w:pPr>
      <w:r>
        <w:t>Documentation Inventory</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File</w:t>
            </w:r>
          </w:p>
        </w:tc>
        <w:tc>
          <w:tcPr>
            <w:tcW w:type="dxa" w:w="5040"/>
            <w:shd w:fill="1F4E79"/>
            <w:vAlign w:val="center"/>
          </w:tcPr>
          <w:p>
            <w:r/>
            <w:r>
              <w:rPr>
                <w:b/>
                <w:color w:val="FFFFFF"/>
              </w:rPr>
              <w:t>Purpose</w:t>
            </w:r>
          </w:p>
        </w:tc>
      </w:tr>
      <w:tr>
        <w:tc>
          <w:tcPr>
            <w:tcW w:type="dxa" w:w="5040"/>
            <w:vAlign w:val="top"/>
          </w:tcPr>
          <w:p>
            <w:r/>
            <w:r>
              <w:rPr>
                <w:b w:val="0"/>
              </w:rPr>
              <w:t>/docs/specs/api-foundation-reference.md</w:t>
            </w:r>
          </w:p>
        </w:tc>
        <w:tc>
          <w:tcPr>
            <w:tcW w:type="dxa" w:w="5040"/>
            <w:vAlign w:val="top"/>
          </w:tcPr>
          <w:p>
            <w:r/>
            <w:r>
              <w:rPr>
                <w:b w:val="0"/>
              </w:rPr>
              <w:t>Agent-facing source of truth for API construction.</w:t>
            </w:r>
          </w:p>
        </w:tc>
      </w:tr>
      <w:tr>
        <w:tc>
          <w:tcPr>
            <w:tcW w:type="dxa" w:w="5040"/>
            <w:vAlign w:val="top"/>
          </w:tcPr>
          <w:p>
            <w:r/>
            <w:r>
              <w:rPr>
                <w:b w:val="0"/>
              </w:rPr>
              <w:t>/docs/specs/api-adapter.md</w:t>
            </w:r>
          </w:p>
        </w:tc>
        <w:tc>
          <w:tcPr>
            <w:tcW w:type="dxa" w:w="5040"/>
            <w:vAlign w:val="top"/>
          </w:tcPr>
          <w:p>
            <w:r/>
            <w:r>
              <w:rPr>
                <w:b w:val="0"/>
              </w:rPr>
              <w:t>Project-specific mapping of stack, paths, contracts, gateways, brokers, and tests.</w:t>
            </w:r>
          </w:p>
        </w:tc>
      </w:tr>
      <w:tr>
        <w:tc>
          <w:tcPr>
            <w:tcW w:type="dxa" w:w="5040"/>
            <w:vAlign w:val="top"/>
          </w:tcPr>
          <w:p>
            <w:r/>
            <w:r>
              <w:rPr>
                <w:b w:val="0"/>
              </w:rPr>
              <w:t>/docs/specs/api-contract-inventory.md</w:t>
            </w:r>
          </w:p>
        </w:tc>
        <w:tc>
          <w:tcPr>
            <w:tcW w:type="dxa" w:w="5040"/>
            <w:vAlign w:val="top"/>
          </w:tcPr>
          <w:p>
            <w:r/>
            <w:r>
              <w:rPr>
                <w:b w:val="0"/>
              </w:rPr>
              <w:t>Tracks contracts, schemas, versions, owners, consumers, and risk.</w:t>
            </w:r>
          </w:p>
        </w:tc>
      </w:tr>
      <w:tr>
        <w:tc>
          <w:tcPr>
            <w:tcW w:type="dxa" w:w="5040"/>
            <w:vAlign w:val="top"/>
          </w:tcPr>
          <w:p>
            <w:r/>
            <w:r>
              <w:rPr>
                <w:b w:val="0"/>
              </w:rPr>
              <w:t>/docs/specs/api-endpoint-inventory.md</w:t>
            </w:r>
          </w:p>
        </w:tc>
        <w:tc>
          <w:tcPr>
            <w:tcW w:type="dxa" w:w="5040"/>
            <w:vAlign w:val="top"/>
          </w:tcPr>
          <w:p>
            <w:r/>
            <w:r>
              <w:rPr>
                <w:b w:val="0"/>
              </w:rPr>
              <w:t>Tracks HTTP endpoints, classification, permissions, idempotency, status, and tests.</w:t>
            </w:r>
          </w:p>
        </w:tc>
      </w:tr>
      <w:tr>
        <w:tc>
          <w:tcPr>
            <w:tcW w:type="dxa" w:w="5040"/>
            <w:vAlign w:val="top"/>
          </w:tcPr>
          <w:p>
            <w:r/>
            <w:r>
              <w:rPr>
                <w:b w:val="0"/>
              </w:rPr>
              <w:t>/docs/specs/api-event-inventory.md</w:t>
            </w:r>
          </w:p>
        </w:tc>
        <w:tc>
          <w:tcPr>
            <w:tcW w:type="dxa" w:w="5040"/>
            <w:vAlign w:val="top"/>
          </w:tcPr>
          <w:p>
            <w:r/>
            <w:r>
              <w:rPr>
                <w:b w:val="0"/>
              </w:rPr>
              <w:t>Tracks events, commands, producers, consumers, schemas, retries, and DLQs.</w:t>
            </w:r>
          </w:p>
        </w:tc>
      </w:tr>
      <w:tr>
        <w:tc>
          <w:tcPr>
            <w:tcW w:type="dxa" w:w="5040"/>
            <w:vAlign w:val="top"/>
          </w:tcPr>
          <w:p>
            <w:r/>
            <w:r>
              <w:rPr>
                <w:b w:val="0"/>
              </w:rPr>
              <w:t>/docs/specs/api-test-matrix.md</w:t>
            </w:r>
          </w:p>
        </w:tc>
        <w:tc>
          <w:tcPr>
            <w:tcW w:type="dxa" w:w="5040"/>
            <w:vAlign w:val="top"/>
          </w:tcPr>
          <w:p>
            <w:r/>
            <w:r>
              <w:rPr>
                <w:b w:val="0"/>
              </w:rPr>
              <w:t>Tracks required API, contract, security, idempotency, and event tests.</w:t>
            </w:r>
          </w:p>
        </w:tc>
      </w:tr>
      <w:tr>
        <w:tc>
          <w:tcPr>
            <w:tcW w:type="dxa" w:w="5040"/>
            <w:vAlign w:val="top"/>
          </w:tcPr>
          <w:p>
            <w:r/>
            <w:r>
              <w:rPr>
                <w:b w:val="0"/>
              </w:rPr>
              <w:t>/docs/specs/api-review-checklist.md</w:t>
            </w:r>
          </w:p>
        </w:tc>
        <w:tc>
          <w:tcPr>
            <w:tcW w:type="dxa" w:w="5040"/>
            <w:vAlign w:val="top"/>
          </w:tcPr>
          <w:p>
            <w:r/>
            <w:r>
              <w:rPr>
                <w:b w:val="0"/>
              </w:rPr>
              <w:t>Acceptance checklist for implementation and review.</w:t>
            </w:r>
          </w:p>
        </w:tc>
      </w:tr>
    </w:tbl>
    <w:p/>
    <w:p>
      <w:pPr>
        <w:pStyle w:val="Heading1"/>
      </w:pPr>
      <w:r>
        <w:t>12. New Project Implementation</w:t>
      </w:r>
    </w:p>
    <w:p>
      <w:r>
        <w:t>For a new project, the first implementation should establish the adapter, contract location, canonical error shape, validation rule, route convention, versioning rule, and a minimal vertical slice. The goal is not to build every possible API feature. The goal is to establish the pattern that all later features will follow.</w:t>
      </w:r>
    </w:p>
    <w:p>
      <w:r>
        <w:t>The minimum serious foundation includes OpenAPI for the current HTTP surface, an endpoint inventory, a test matrix, boundary validation, a use-case layer, ports/adapters for infrastructure, and authorization hook points. AsyncAPI and broker adapters are added when events are part of the current or near-term architecture.</w:t>
      </w:r>
    </w:p>
    <w:p>
      <w:pPr>
        <w:pStyle w:val="Heading1"/>
      </w:pPr>
      <w:r>
        <w:t>13. Existing Project Refactoring</w:t>
      </w:r>
    </w:p>
    <w:p>
      <w:r>
        <w:t>For an existing project, the first task is review, not replacement. Inventory endpoints, route styles, response shapes, error shapes, validation patterns, jobs, queues, events, webhooks, middleware, tests, and consumers. Identify business logic trapped in controllers, missing contracts, missing authorization, missing idempotency, inconsistent errors, and consumer compatibility risk.</w:t>
      </w:r>
    </w:p>
    <w:p>
      <w:r>
        <w:t>Refactor one vertical slice at a time. Add contracts for existing behavior before changing behavior where practical. Preserve compatibility unless the task authorizes a migration or the current behavior is a security defect. Compatibility adapters and aliases are better than breaking unknown consumers accidentally.</w:t>
      </w:r>
    </w:p>
    <w:p>
      <w:pPr>
        <w:pStyle w:val="Heading1"/>
      </w:pPr>
      <w:r>
        <w:t>14. Testing and Acceptance</w:t>
      </w:r>
    </w:p>
    <w:p>
      <w:r>
        <w:t>API work must be tested from multiple angles: contract validity, request validation, response conformance, authorization, scope isolation, idempotency, event publication, event consumption, retry and dead-letter handling, webhook signature verification, backward compatibility, and observability. A feature is not complete merely because the happy path works.</w:t>
      </w:r>
    </w:p>
    <w:p>
      <w:r>
        <w:t>The agent must update the test matrix and report tests run. A deferred test is a risk, not an invisible omission.</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Rule</w:t>
            </w:r>
          </w:p>
        </w:tc>
        <w:tc>
          <w:tcPr>
            <w:tcW w:type="dxa" w:w="5040"/>
            <w:shd w:fill="1F4E79"/>
            <w:vAlign w:val="center"/>
          </w:tcPr>
          <w:p>
            <w:r/>
            <w:r>
              <w:rPr>
                <w:b/>
                <w:color w:val="FFFFFF"/>
              </w:rPr>
              <w:t>Meaning</w:t>
            </w:r>
          </w:p>
        </w:tc>
      </w:tr>
      <w:tr>
        <w:tc>
          <w:tcPr>
            <w:tcW w:type="dxa" w:w="5040"/>
            <w:vAlign w:val="top"/>
          </w:tcPr>
          <w:p>
            <w:r/>
            <w:r>
              <w:rPr>
                <w:b w:val="0"/>
              </w:rPr>
              <w:t>No uncontracted API behavior</w:t>
            </w:r>
          </w:p>
        </w:tc>
        <w:tc>
          <w:tcPr>
            <w:tcW w:type="dxa" w:w="5040"/>
            <w:vAlign w:val="top"/>
          </w:tcPr>
          <w:p>
            <w:r/>
            <w:r>
              <w:rPr>
                <w:b w:val="0"/>
              </w:rPr>
              <w:t>OpenAPI/AsyncAPI or approved contract must be updated with behavior.</w:t>
            </w:r>
          </w:p>
        </w:tc>
      </w:tr>
      <w:tr>
        <w:tc>
          <w:tcPr>
            <w:tcW w:type="dxa" w:w="5040"/>
            <w:vAlign w:val="top"/>
          </w:tcPr>
          <w:p>
            <w:r/>
            <w:r>
              <w:rPr>
                <w:b w:val="0"/>
              </w:rPr>
              <w:t>No frontend-only security</w:t>
            </w:r>
          </w:p>
        </w:tc>
        <w:tc>
          <w:tcPr>
            <w:tcW w:type="dxa" w:w="5040"/>
            <w:vAlign w:val="top"/>
          </w:tcPr>
          <w:p>
            <w:r/>
            <w:r>
              <w:rPr>
                <w:b w:val="0"/>
              </w:rPr>
              <w:t>Backend/API must enforce validation and authorization.</w:t>
            </w:r>
          </w:p>
        </w:tc>
      </w:tr>
      <w:tr>
        <w:tc>
          <w:tcPr>
            <w:tcW w:type="dxa" w:w="5040"/>
            <w:vAlign w:val="top"/>
          </w:tcPr>
          <w:p>
            <w:r/>
            <w:r>
              <w:rPr>
                <w:b w:val="0"/>
              </w:rPr>
              <w:t>No core framework leakage</w:t>
            </w:r>
          </w:p>
        </w:tc>
        <w:tc>
          <w:tcPr>
            <w:tcW w:type="dxa" w:w="5040"/>
            <w:vAlign w:val="top"/>
          </w:tcPr>
          <w:p>
            <w:r/>
            <w:r>
              <w:rPr>
                <w:b w:val="0"/>
              </w:rPr>
              <w:t>Business logic cannot depend on HTTP, broker, database, or cloud SDKs.</w:t>
            </w:r>
          </w:p>
        </w:tc>
      </w:tr>
      <w:tr>
        <w:tc>
          <w:tcPr>
            <w:tcW w:type="dxa" w:w="5040"/>
            <w:vAlign w:val="top"/>
          </w:tcPr>
          <w:p>
            <w:r/>
            <w:r>
              <w:rPr>
                <w:b w:val="0"/>
              </w:rPr>
              <w:t>No duplicate API styles</w:t>
            </w:r>
          </w:p>
        </w:tc>
        <w:tc>
          <w:tcPr>
            <w:tcW w:type="dxa" w:w="5040"/>
            <w:vAlign w:val="top"/>
          </w:tcPr>
          <w:p>
            <w:r/>
            <w:r>
              <w:rPr>
                <w:b w:val="0"/>
              </w:rPr>
              <w:t>Reuse canonical response, error, pagination, and event envelope patterns.</w:t>
            </w:r>
          </w:p>
        </w:tc>
      </w:tr>
      <w:tr>
        <w:tc>
          <w:tcPr>
            <w:tcW w:type="dxa" w:w="5040"/>
            <w:vAlign w:val="top"/>
          </w:tcPr>
          <w:p>
            <w:r/>
            <w:r>
              <w:rPr>
                <w:b w:val="0"/>
              </w:rPr>
              <w:t>No silent breaking changes</w:t>
            </w:r>
          </w:p>
        </w:tc>
        <w:tc>
          <w:tcPr>
            <w:tcW w:type="dxa" w:w="5040"/>
            <w:vAlign w:val="top"/>
          </w:tcPr>
          <w:p>
            <w:r/>
            <w:r>
              <w:rPr>
                <w:b w:val="0"/>
              </w:rPr>
              <w:t>Classify compatibility risk and document migrations.</w:t>
            </w:r>
          </w:p>
        </w:tc>
      </w:tr>
      <w:tr>
        <w:tc>
          <w:tcPr>
            <w:tcW w:type="dxa" w:w="5040"/>
            <w:vAlign w:val="top"/>
          </w:tcPr>
          <w:p>
            <w:r/>
            <w:r>
              <w:rPr>
                <w:b w:val="0"/>
              </w:rPr>
              <w:t>No Node.js or Laravel core stack</w:t>
            </w:r>
          </w:p>
        </w:tc>
        <w:tc>
          <w:tcPr>
            <w:tcW w:type="dxa" w:w="5040"/>
            <w:vAlign w:val="top"/>
          </w:tcPr>
          <w:p>
            <w:r/>
            <w:r>
              <w:rPr>
                <w:b w:val="0"/>
              </w:rPr>
              <w:t>Unless explicitly approved; tools/modules may be acceptable when documented.</w:t>
            </w:r>
          </w:p>
        </w:tc>
      </w:tr>
    </w:tbl>
    <w:p/>
    <w:p>
      <w:pPr>
        <w:pStyle w:val="Heading1"/>
      </w:pPr>
      <w:r>
        <w:t>15. Maturity Model</w:t>
      </w:r>
    </w:p>
    <w:p>
      <w:r>
        <w:t>The maturity model prevents both underbuilding and overbuilding. Level 1 may be enough for a small internal tool. Level 2 is the minimum for a serious MVP. Level 3 adds ports/adapters, events, idempotency, and observability. Level 4 adds gateway and policy governance, outbox/inbox, dead letters, and compatibility gates. Level 5 is for platform-grade ecosystems with schema registries, consumer-driven contracts, replay, and automated compatibility enforcement.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
              <w:rPr>
                <w:b/>
                <w:color w:val="FFFFFF"/>
              </w:rPr>
              <w:t>Level</w:t>
            </w:r>
          </w:p>
        </w:tc>
        <w:tc>
          <w:tcPr>
            <w:tcW w:type="dxa" w:w="3360"/>
            <w:shd w:fill="1F4E79"/>
            <w:vAlign w:val="center"/>
          </w:tcPr>
          <w:p>
            <w:r/>
            <w:r>
              <w:rPr>
                <w:b/>
                <w:color w:val="FFFFFF"/>
              </w:rPr>
              <w:t>Description</w:t>
            </w:r>
          </w:p>
        </w:tc>
        <w:tc>
          <w:tcPr>
            <w:tcW w:type="dxa" w:w="3360"/>
            <w:shd w:fill="1F4E79"/>
            <w:vAlign w:val="center"/>
          </w:tcPr>
          <w:p>
            <w:r/>
            <w:r>
              <w:rPr>
                <w:b/>
                <w:color w:val="FFFFFF"/>
              </w:rPr>
              <w:t>Typical use</w:t>
            </w:r>
          </w:p>
        </w:tc>
      </w:tr>
      <w:tr>
        <w:tc>
          <w:tcPr>
            <w:tcW w:type="dxa" w:w="3360"/>
            <w:vAlign w:val="top"/>
          </w:tcPr>
          <w:p>
            <w:r/>
            <w:r>
              <w:rPr>
                <w:b w:val="0"/>
              </w:rPr>
              <w:t>0</w:t>
            </w:r>
          </w:p>
        </w:tc>
        <w:tc>
          <w:tcPr>
            <w:tcW w:type="dxa" w:w="3360"/>
            <w:vAlign w:val="top"/>
          </w:tcPr>
          <w:p>
            <w:r/>
            <w:r>
              <w:rPr>
                <w:b w:val="0"/>
              </w:rPr>
              <w:t>Ad hoc API behavior.</w:t>
            </w:r>
          </w:p>
        </w:tc>
        <w:tc>
          <w:tcPr>
            <w:tcW w:type="dxa" w:w="3360"/>
            <w:vAlign w:val="top"/>
          </w:tcPr>
          <w:p>
            <w:r/>
            <w:r>
              <w:rPr>
                <w:b w:val="0"/>
              </w:rPr>
              <w:t>Disposable prototype only.</w:t>
            </w:r>
          </w:p>
        </w:tc>
      </w:tr>
      <w:tr>
        <w:tc>
          <w:tcPr>
            <w:tcW w:type="dxa" w:w="3360"/>
            <w:vAlign w:val="top"/>
          </w:tcPr>
          <w:p>
            <w:r/>
            <w:r>
              <w:rPr>
                <w:b w:val="0"/>
              </w:rPr>
              <w:t>1</w:t>
            </w:r>
          </w:p>
        </w:tc>
        <w:tc>
          <w:tcPr>
            <w:tcW w:type="dxa" w:w="3360"/>
            <w:vAlign w:val="top"/>
          </w:tcPr>
          <w:p>
            <w:r/>
            <w:r>
              <w:rPr>
                <w:b w:val="0"/>
              </w:rPr>
              <w:t>Basic documented endpoints and validation.</w:t>
            </w:r>
          </w:p>
        </w:tc>
        <w:tc>
          <w:tcPr>
            <w:tcW w:type="dxa" w:w="3360"/>
            <w:vAlign w:val="top"/>
          </w:tcPr>
          <w:p>
            <w:r/>
            <w:r>
              <w:rPr>
                <w:b w:val="0"/>
              </w:rPr>
              <w:t>Small internal tool.</w:t>
            </w:r>
          </w:p>
        </w:tc>
      </w:tr>
      <w:tr>
        <w:tc>
          <w:tcPr>
            <w:tcW w:type="dxa" w:w="3360"/>
            <w:vAlign w:val="top"/>
          </w:tcPr>
          <w:p>
            <w:r/>
            <w:r>
              <w:rPr>
                <w:b w:val="0"/>
              </w:rPr>
              <w:t>2</w:t>
            </w:r>
          </w:p>
        </w:tc>
        <w:tc>
          <w:tcPr>
            <w:tcW w:type="dxa" w:w="3360"/>
            <w:vAlign w:val="top"/>
          </w:tcPr>
          <w:p>
            <w:r/>
            <w:r>
              <w:rPr>
                <w:b w:val="0"/>
              </w:rPr>
              <w:t>OpenAPI, stable errors, guards, endpoint inventory.</w:t>
            </w:r>
          </w:p>
        </w:tc>
        <w:tc>
          <w:tcPr>
            <w:tcW w:type="dxa" w:w="3360"/>
            <w:vAlign w:val="top"/>
          </w:tcPr>
          <w:p>
            <w:r/>
            <w:r>
              <w:rPr>
                <w:b w:val="0"/>
              </w:rPr>
              <w:t>Serious MVP.</w:t>
            </w:r>
          </w:p>
        </w:tc>
      </w:tr>
      <w:tr>
        <w:tc>
          <w:tcPr>
            <w:tcW w:type="dxa" w:w="3360"/>
            <w:vAlign w:val="top"/>
          </w:tcPr>
          <w:p>
            <w:r/>
            <w:r>
              <w:rPr>
                <w:b w:val="0"/>
              </w:rPr>
              <w:t>3</w:t>
            </w:r>
          </w:p>
        </w:tc>
        <w:tc>
          <w:tcPr>
            <w:tcW w:type="dxa" w:w="3360"/>
            <w:vAlign w:val="top"/>
          </w:tcPr>
          <w:p>
            <w:r/>
            <w:r>
              <w:rPr>
                <w:b w:val="0"/>
              </w:rPr>
              <w:t>Ports/adapters, events, idempotency, audit, observability.</w:t>
            </w:r>
          </w:p>
        </w:tc>
        <w:tc>
          <w:tcPr>
            <w:tcW w:type="dxa" w:w="3360"/>
            <w:vAlign w:val="top"/>
          </w:tcPr>
          <w:p>
            <w:r/>
            <w:r>
              <w:rPr>
                <w:b w:val="0"/>
              </w:rPr>
              <w:t>Modular product or SaaS.</w:t>
            </w:r>
          </w:p>
        </w:tc>
      </w:tr>
      <w:tr>
        <w:tc>
          <w:tcPr>
            <w:tcW w:type="dxa" w:w="3360"/>
            <w:vAlign w:val="top"/>
          </w:tcPr>
          <w:p>
            <w:r/>
            <w:r>
              <w:rPr>
                <w:b w:val="0"/>
              </w:rPr>
              <w:t>4</w:t>
            </w:r>
          </w:p>
        </w:tc>
        <w:tc>
          <w:tcPr>
            <w:tcW w:type="dxa" w:w="3360"/>
            <w:vAlign w:val="top"/>
          </w:tcPr>
          <w:p>
            <w:r/>
            <w:r>
              <w:rPr>
                <w:b w:val="0"/>
              </w:rPr>
              <w:t>Gateway, policy-as-code, outbox/inbox, DLQ, contract tests.</w:t>
            </w:r>
          </w:p>
        </w:tc>
        <w:tc>
          <w:tcPr>
            <w:tcW w:type="dxa" w:w="3360"/>
            <w:vAlign w:val="top"/>
          </w:tcPr>
          <w:p>
            <w:r/>
            <w:r>
              <w:rPr>
                <w:b w:val="0"/>
              </w:rPr>
              <w:t>Enterprise product.</w:t>
            </w:r>
          </w:p>
        </w:tc>
      </w:tr>
      <w:tr>
        <w:tc>
          <w:tcPr>
            <w:tcW w:type="dxa" w:w="3360"/>
            <w:vAlign w:val="top"/>
          </w:tcPr>
          <w:p>
            <w:r/>
            <w:r>
              <w:rPr>
                <w:b w:val="0"/>
              </w:rPr>
              <w:t>5</w:t>
            </w:r>
          </w:p>
        </w:tc>
        <w:tc>
          <w:tcPr>
            <w:tcW w:type="dxa" w:w="3360"/>
            <w:vAlign w:val="top"/>
          </w:tcPr>
          <w:p>
            <w:r/>
            <w:r>
              <w:rPr>
                <w:b w:val="0"/>
              </w:rPr>
              <w:t>Schema registry, consumer-driven contracts, replay, compatibility gates.</w:t>
            </w:r>
          </w:p>
        </w:tc>
        <w:tc>
          <w:tcPr>
            <w:tcW w:type="dxa" w:w="3360"/>
            <w:vAlign w:val="top"/>
          </w:tcPr>
          <w:p>
            <w:r/>
            <w:r>
              <w:rPr>
                <w:b w:val="0"/>
              </w:rPr>
              <w:t>Platform ecosystem.</w:t>
            </w:r>
          </w:p>
        </w:tc>
      </w:tr>
    </w:tbl>
    <w:p/>
    <w:p>
      <w:pPr>
        <w:pStyle w:val="Heading1"/>
      </w:pPr>
      <w:r>
        <w:t>16. Implementation Checklist for AI Coding Agents</w:t>
      </w:r>
    </w:p>
    <w:p>
      <w:pPr>
        <w:pStyle w:val="ListBullet"/>
      </w:pPr>
      <w:r>
        <w:t>Read AGENTS.md and all API foundation documents under /docs/specs before API work.</w:t>
      </w:r>
    </w:p>
    <w:p>
      <w:pPr>
        <w:pStyle w:val="ListBullet"/>
      </w:pPr>
      <w:r>
        <w:t>Inspect existing implementation before proposing changes.</w:t>
      </w:r>
    </w:p>
    <w:p>
      <w:pPr>
        <w:pStyle w:val="ListBullet"/>
      </w:pPr>
      <w:r>
        <w:t>Create or update api-adapter.md before broad API implementation.</w:t>
      </w:r>
    </w:p>
    <w:p>
      <w:pPr>
        <w:pStyle w:val="ListBullet"/>
      </w:pPr>
      <w:r>
        <w:t>Update OpenAPI or AsyncAPI contracts in the same pass as behavior changes.</w:t>
      </w:r>
    </w:p>
    <w:p>
      <w:pPr>
        <w:pStyle w:val="ListBullet"/>
      </w:pPr>
      <w:r>
        <w:t>Validate external input before core logic.</w:t>
      </w:r>
    </w:p>
    <w:p>
      <w:pPr>
        <w:pStyle w:val="ListBullet"/>
      </w:pPr>
      <w:r>
        <w:t>Map requests/messages to DTOs or commands before entering use cases.</w:t>
      </w:r>
    </w:p>
    <w:p>
      <w:pPr>
        <w:pStyle w:val="ListBullet"/>
      </w:pPr>
      <w:r>
        <w:t>Keep domain/business logic independent from HTTP, broker, database, gateway, and cloud SDKs.</w:t>
      </w:r>
    </w:p>
    <w:p>
      <w:pPr>
        <w:pStyle w:val="ListBullet"/>
      </w:pPr>
      <w:r>
        <w:t>Enforce server-side authentication and authorization for protected operations.</w:t>
      </w:r>
    </w:p>
    <w:p>
      <w:pPr>
        <w:pStyle w:val="ListBullet"/>
      </w:pPr>
      <w:r>
        <w:t>Add idempotency for duplicate-sensitive commands.</w:t>
      </w:r>
    </w:p>
    <w:p>
      <w:pPr>
        <w:pStyle w:val="ListBullet"/>
      </w:pPr>
      <w:r>
        <w:t>Emit or propagate request ID and correlation ID.</w:t>
      </w:r>
    </w:p>
    <w:p>
      <w:pPr>
        <w:pStyle w:val="ListBullet"/>
      </w:pPr>
      <w:r>
        <w:t>Update inventories and test matrix.</w:t>
      </w:r>
    </w:p>
    <w:p>
      <w:pPr>
        <w:pStyle w:val="ListBullet"/>
      </w:pPr>
      <w:r>
        <w:t>Report deferred risks explicitly.</w:t>
      </w:r>
    </w:p>
    <w:p>
      <w:pPr>
        <w:pStyle w:val="Heading1"/>
      </w:pPr>
      <w:r>
        <w:t>17. New Project Guide</w:t>
      </w:r>
    </w:p>
    <w:p>
      <w:r>
        <w:t>1. Start with the API adapter, contract inventory, endpoint inventory, and test matrix.</w:t>
      </w:r>
    </w:p>
    <w:p>
      <w:r>
        <w:t>2. Define the first OpenAPI contract for the vertical slice being implemented.</w:t>
      </w:r>
    </w:p>
    <w:p>
      <w:r>
        <w:t>3. Define AsyncAPI only if events, queues, webhooks, or brokered workflows are in scope.</w:t>
      </w:r>
    </w:p>
    <w:p>
      <w:r>
        <w:t>4. Implement a minimal route to use case to port to adapter flow.</w:t>
      </w:r>
    </w:p>
    <w:p>
      <w:r>
        <w:t>5. Add canonical error shape and boundary validation.</w:t>
      </w:r>
    </w:p>
    <w:p>
      <w:r>
        <w:t>6. Integrate access-control hooks even if the first roles are simple.</w:t>
      </w:r>
    </w:p>
    <w:p>
      <w:r>
        <w:t>7. Add tests before expanding the surface area.</w:t>
      </w:r>
    </w:p>
    <w:p>
      <w:pPr>
        <w:pStyle w:val="Heading1"/>
      </w:pPr>
      <w:r>
        <w:t>18. Existing Project Refactor Guide</w:t>
      </w:r>
    </w:p>
    <w:p>
      <w:r>
        <w:t>1. Inventory routes, contracts, schemas, controllers, handlers, consumers, queues, jobs, webhooks, integrations, and tests.</w:t>
      </w:r>
    </w:p>
    <w:p>
      <w:r>
        <w:t>2. Classify undocumented behavior before changing it.</w:t>
      </w:r>
    </w:p>
    <w:p>
      <w:r>
        <w:t>3. Identify duplicated error shapes, inconsistent validation, missing authorization, and business logic in boundary adapters.</w:t>
      </w:r>
    </w:p>
    <w:p>
      <w:r>
        <w:t>4. Create compatibility tests for existing consumers.</w:t>
      </w:r>
    </w:p>
    <w:p>
      <w:r>
        <w:t>5. Refactor one vertical slice at a time.</w:t>
      </w:r>
    </w:p>
    <w:p>
      <w:r>
        <w:t>6. Move core behavior toward use cases and ports while preserving working behavior.</w:t>
      </w:r>
    </w:p>
    <w:p>
      <w:r>
        <w:t>7. Document intentional breaking changes and migration paths.</w:t>
      </w:r>
    </w:p>
    <w:p>
      <w:pPr>
        <w:pStyle w:val="Heading1"/>
      </w:pPr>
      <w:r>
        <w:t>19. Relationship to UI and Access-Control Foundations</w:t>
      </w:r>
    </w:p>
    <w:p>
      <w:r>
        <w:t>The API foundation is not isolated from the other foundation documents. UI work depends on API contracts, stable errors, capability metadata, and predictable validation responses. Access-control work depends on endpoint classification, permission requirements, scope resolution, API token rules, service account rules, audit events, and backend enforcement. An API change that affects UI visibility or authorization must update all affected foundation inventories.</w:t>
      </w:r>
    </w:p>
    <w:p>
      <w:pPr>
        <w:pStyle w:val="Heading1"/>
      </w:pPr>
      <w:r>
        <w:t>20. References for Standards and Tooling</w:t>
      </w:r>
    </w:p>
    <w:p>
      <w:pPr>
        <w:pStyle w:val="ListBullet"/>
      </w:pPr>
      <w:r>
        <w:t>OpenAPI Specification: formal standard for describing HTTP APIs.</w:t>
      </w:r>
    </w:p>
    <w:p>
      <w:pPr>
        <w:pStyle w:val="ListBullet"/>
      </w:pPr>
      <w:r>
        <w:t>AsyncAPI Specification: machine-readable description format for message-driven APIs.</w:t>
      </w:r>
    </w:p>
    <w:p>
      <w:pPr>
        <w:pStyle w:val="ListBullet"/>
      </w:pPr>
      <w:r>
        <w:t>OAuth 2.0: authorization framework for delegated access.</w:t>
      </w:r>
    </w:p>
    <w:p>
      <w:pPr>
        <w:pStyle w:val="ListBullet"/>
      </w:pPr>
      <w:r>
        <w:t>OpenID Connect: identity layer built on top of OAuth 2.0.</w:t>
      </w:r>
    </w:p>
    <w:p>
      <w:pPr>
        <w:pStyle w:val="ListBullet"/>
      </w:pPr>
      <w:r>
        <w:t>Open Policy Agent: general-purpose policy engine for policy-as-code decisions.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