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UNIVERSAL DATA FOUNDATION MODEL</w:t>
      </w:r>
    </w:p>
    <w:p>
      <w:pPr>
        <w:jc w:val="center"/>
      </w:pPr>
      <w:r>
        <w:rPr>
          <w:b/>
        </w:rPr>
        <w:t>Technical Manual and AI Implementation Guide</w:t>
        <w:br/>
        <w:t>Version 1.0-Universal | Generic New and Existing Project Edition</w:t>
      </w:r>
    </w:p>
    <w:p>
      <w:r>
        <w:t>Purpose. This manual defines a reusable, technology-agnostic data foundation for entity modeling, dataset implementation, schema evolution, lifecycle governance, migration safety, storage-adapter decisions, and AI Coding Companion enforcement.</w:t>
      </w:r>
    </w:p>
    <w:p>
      <w:pPr>
        <w:pStyle w:val="Heading1"/>
      </w:pPr>
      <w:r>
        <w:t>1. Executive Summary</w:t>
      </w:r>
    </w:p>
    <w:p>
      <w:r>
        <w:t>The Data Foundation is a technology-agnostic architecture standard for data models, datasets, schema contracts, lifecycle behavior, storage-adapter decisions, migrations, and refactoring. It exists because AI Coding Companions often move too quickly from a product feature to a physical table, collection, JSON blob, cache, queue, or storage service without first classifying what the data means and how it must behave.</w:t>
      </w:r>
    </w:p>
    <w:p>
      <w:r>
        <w:t>The correct model is not 'choose a database.' The correct model is classify the entity, define the contract, decide the consistency and lifecycle requirements, then map that decision into the current project's adapter. This is the same foundation-versus-adapter pattern used by the UI, Access Control, and API standards.</w:t>
      </w:r>
    </w:p>
    <w:p>
      <w:r>
        <w:t>This manual expands the provided Multidimensional Data Decision Framework into an implementation-ready package for new and existing projects. It applies to SaaS products, single-tenant applications, internal tools, content platforms, API systems, event-driven systems, analytical systems, and AI-enabled products.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Problem</w:t>
            </w:r>
          </w:p>
        </w:tc>
        <w:tc>
          <w:tcPr>
            <w:tcW w:type="dxa" w:w="5112"/>
            <w:shd w:fill="D9EAF7"/>
          </w:tcPr>
          <w:p>
            <w:r>
              <w:rPr>
                <w:b/>
              </w:rPr>
              <w:t>Foundation Response</w:t>
            </w:r>
          </w:p>
        </w:tc>
      </w:tr>
      <w:tr>
        <w:tc>
          <w:tcPr>
            <w:tcW w:type="dxa" w:w="5112"/>
            <w:vAlign w:val="top"/>
          </w:tcPr>
          <w:p>
            <w:r>
              <w:t>AI agents choose storage too early.</w:t>
            </w:r>
          </w:p>
        </w:tc>
        <w:tc>
          <w:tcPr>
            <w:tcW w:type="dxa" w:w="5112"/>
            <w:vAlign w:val="top"/>
          </w:tcPr>
          <w:p>
            <w:r>
              <w:t>Classify entity and contract first; storage is an adapter decision.</w:t>
            </w:r>
          </w:p>
        </w:tc>
      </w:tr>
      <w:tr>
        <w:tc>
          <w:tcPr>
            <w:tcW w:type="dxa" w:w="5112"/>
            <w:vAlign w:val="top"/>
          </w:tcPr>
          <w:p>
            <w:r>
              <w:t>Data models drift across features.</w:t>
            </w:r>
          </w:p>
        </w:tc>
        <w:tc>
          <w:tcPr>
            <w:tcW w:type="dxa" w:w="5112"/>
            <w:vAlign w:val="top"/>
          </w:tcPr>
          <w:p>
            <w:r>
              <w:t>Maintain entity inventory, dataset inventory, schema evolution log, and decision matrices.</w:t>
            </w:r>
          </w:p>
        </w:tc>
      </w:tr>
      <w:tr>
        <w:tc>
          <w:tcPr>
            <w:tcW w:type="dxa" w:w="5112"/>
            <w:vAlign w:val="top"/>
          </w:tcPr>
          <w:p>
            <w:r>
              <w:t>Migrations are risky.</w:t>
            </w:r>
          </w:p>
        </w:tc>
        <w:tc>
          <w:tcPr>
            <w:tcW w:type="dxa" w:w="5112"/>
            <w:vAlign w:val="top"/>
          </w:tcPr>
          <w:p>
            <w:r>
              <w:t>Require compatibility analysis, backfill plan, rollback plan, and tests.</w:t>
            </w:r>
          </w:p>
        </w:tc>
      </w:tr>
      <w:tr>
        <w:tc>
          <w:tcPr>
            <w:tcW w:type="dxa" w:w="5112"/>
            <w:vAlign w:val="top"/>
          </w:tcPr>
          <w:p>
            <w:r>
              <w:t>Derived data becomes confused with truth.</w:t>
            </w:r>
          </w:p>
        </w:tc>
        <w:tc>
          <w:tcPr>
            <w:tcW w:type="dxa" w:w="5112"/>
            <w:vAlign w:val="top"/>
          </w:tcPr>
          <w:p>
            <w:r>
              <w:t>Classify records of truth, projections, caches, search documents, events, and analytics separately.</w:t>
            </w:r>
          </w:p>
        </w:tc>
      </w:tr>
      <w:tr>
        <w:tc>
          <w:tcPr>
            <w:tcW w:type="dxa" w:w="5112"/>
            <w:vAlign w:val="top"/>
          </w:tcPr>
          <w:p>
            <w:r>
              <w:t>Lifecycle decisions are ignored.</w:t>
            </w:r>
          </w:p>
        </w:tc>
        <w:tc>
          <w:tcPr>
            <w:tcW w:type="dxa" w:w="5112"/>
            <w:vAlign w:val="top"/>
          </w:tcPr>
          <w:p>
            <w:r>
              <w:t>Require retention, deletion, redaction, anonymization, archival, and audit rules per entity.</w:t>
            </w:r>
          </w:p>
        </w:tc>
      </w:tr>
    </w:tbl>
    <w:p/>
    <w:p>
      <w:pPr>
        <w:pStyle w:val="Heading1"/>
      </w:pPr>
      <w:r>
        <w:t>2. Source Study Evaluation</w:t>
      </w:r>
    </w:p>
    <w:p>
      <w:r>
        <w:t>The uploaded study is directionally correct. Its strongest idea is that a data decision should be made through multiple dimensions: access pattern, consistency requirement, lifecycle, compliance, schema standardization, identity, and portability. That prevents AI agents from treating all data as either a simple relational table or an unstructured document.</w:t>
      </w:r>
    </w:p>
    <w:p>
      <w:r>
        <w:t>The study also correctly requires OpenAPI/AsyncAPI alignment, universal identifiers, versioned schemas, schema evolution, observability metadata, hot/warm/cold lifecycle thinking, and immutable ledger behavior for sensitive historical records.</w:t>
      </w:r>
    </w:p>
    <w:p>
      <w:r>
        <w:t>The main correction is terminology discipline. CAP theorem should not be used as a casual instruction to 'pick two.' In a distributed system, partition tolerance becomes a practical concern during failures. The entity-specific decision is what the system does under failure: block, serve stale data, queue, retry, reconcile, or require manual review. The foundation therefore requires every entity to document a failure mode.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Source Study Element</w:t>
            </w:r>
          </w:p>
        </w:tc>
        <w:tc>
          <w:tcPr>
            <w:tcW w:type="dxa" w:w="5112"/>
            <w:shd w:fill="D9EAF7"/>
          </w:tcPr>
          <w:p>
            <w:r>
              <w:rPr>
                <w:b/>
              </w:rPr>
              <w:t>Decision in This Foundation</w:t>
            </w:r>
          </w:p>
        </w:tc>
      </w:tr>
      <w:tr>
        <w:tc>
          <w:tcPr>
            <w:tcW w:type="dxa" w:w="5112"/>
            <w:vAlign w:val="top"/>
          </w:tcPr>
          <w:p>
            <w:r>
              <w:t>Access Pattern Profile</w:t>
            </w:r>
          </w:p>
        </w:tc>
        <w:tc>
          <w:tcPr>
            <w:tcW w:type="dxa" w:w="5112"/>
            <w:vAlign w:val="top"/>
          </w:tcPr>
          <w:p>
            <w:r>
              <w:t>Retained and expanded into read/write, contention, latency, throughput, search, analytics, graph, event, and file patterns.</w:t>
            </w:r>
          </w:p>
        </w:tc>
      </w:tr>
      <w:tr>
        <w:tc>
          <w:tcPr>
            <w:tcW w:type="dxa" w:w="5112"/>
            <w:vAlign w:val="top"/>
          </w:tcPr>
          <w:p>
            <w:r>
              <w:t>CAP Theorem Constraint Model</w:t>
            </w:r>
          </w:p>
        </w:tc>
        <w:tc>
          <w:tcPr>
            <w:tcW w:type="dxa" w:w="5112"/>
            <w:vAlign w:val="top"/>
          </w:tcPr>
          <w:p>
            <w:r>
              <w:t>Reframed as an entity-specific consistency and failure-mode model.</w:t>
            </w:r>
          </w:p>
        </w:tc>
      </w:tr>
      <w:tr>
        <w:tc>
          <w:tcPr>
            <w:tcW w:type="dxa" w:w="5112"/>
            <w:vAlign w:val="top"/>
          </w:tcPr>
          <w:p>
            <w:r>
              <w:t>Data Sovereignty &amp; Lifecycle</w:t>
            </w:r>
          </w:p>
        </w:tc>
        <w:tc>
          <w:tcPr>
            <w:tcW w:type="dxa" w:w="5112"/>
            <w:vAlign w:val="top"/>
          </w:tcPr>
          <w:p>
            <w:r>
              <w:t>Retained and expanded into lifecycle matrix, sensitivity classification, residency, retention, deletion, redaction, archival, and auditability.</w:t>
            </w:r>
          </w:p>
        </w:tc>
      </w:tr>
      <w:tr>
        <w:tc>
          <w:tcPr>
            <w:tcW w:type="dxa" w:w="5112"/>
            <w:vAlign w:val="top"/>
          </w:tcPr>
          <w:p>
            <w:r>
              <w:t>Semantic Interface Standardization</w:t>
            </w:r>
          </w:p>
        </w:tc>
        <w:tc>
          <w:tcPr>
            <w:tcW w:type="dxa" w:w="5112"/>
            <w:vAlign w:val="top"/>
          </w:tcPr>
          <w:p>
            <w:r>
              <w:t>Retained as schema contracts, universal identifiers, ISO-style semantics, versioned schemas, and API/event alignment.</w:t>
            </w:r>
          </w:p>
        </w:tc>
      </w:tr>
      <w:tr>
        <w:tc>
          <w:tcPr>
            <w:tcW w:type="dxa" w:w="5112"/>
            <w:vAlign w:val="top"/>
          </w:tcPr>
          <w:p>
            <w:r>
              <w:t>Polyglot Strategy</w:t>
            </w:r>
          </w:p>
        </w:tc>
        <w:tc>
          <w:tcPr>
            <w:tcW w:type="dxa" w:w="5112"/>
            <w:vAlign w:val="top"/>
          </w:tcPr>
          <w:p>
            <w:r>
              <w:t>Converted into adapter strategy with documented reasons and rejected alternatives.</w:t>
            </w:r>
          </w:p>
        </w:tc>
      </w:tr>
    </w:tbl>
    <w:p/>
    <w:p>
      <w:pPr>
        <w:pStyle w:val="Heading1"/>
      </w:pPr>
      <w:r>
        <w:t>3. Foundation Doctrine</w:t>
      </w:r>
    </w:p>
    <w:p>
      <w:r>
        <w:t>The Data Foundation defines the business meaning, schema contract, consistency model, lifecycle behavior, governance, and storage-adapter rationale for application data. It does not force PostgreSQL, MySQL, SQLite, MongoDB, Redis-compatible storage, object storage, event streams, warehouses, or vector databases. Those are adapters selected after classification.</w:t>
      </w:r>
    </w:p>
    <w:p>
      <w:r>
        <w:t>The doctrine is contract-first, adapter-driven, evolution-safe, lifecycle-aware, and testable. Contract-first means data shapes must be expressed in language-neutral schemas before they are exposed through APIs, events, imports, exports, or persistent stores. Adapter-driven means business logic communicates through repositories, ports, and services, not raw storage mechanics. Evolution-safe means schema changes are additive by default and breaking changes require migration strategy. Lifecycle-aware means retention, deletion, redaction, anonymization, archival, and auditability are designed upfront. Testable means migrations, schema validation, old-record readability, idempotency, and containment behavior are verified.</w:t>
      </w:r>
    </w:p>
    <w:p>
      <w:pPr>
        <w:pStyle w:val="ListBullet"/>
      </w:pPr>
      <w:r>
        <w:t>Contract before storage.</w:t>
      </w:r>
    </w:p>
    <w:p>
      <w:pPr>
        <w:pStyle w:val="ListBullet"/>
      </w:pPr>
      <w:r>
        <w:t>Storage engines are adapters, not the data model.</w:t>
      </w:r>
    </w:p>
    <w:p>
      <w:pPr>
        <w:pStyle w:val="ListBullet"/>
      </w:pPr>
      <w:r>
        <w:t>Records of truth require stronger discipline than projections, caches, or search documents.</w:t>
      </w:r>
    </w:p>
    <w:p>
      <w:pPr>
        <w:pStyle w:val="ListBullet"/>
      </w:pPr>
      <w:r>
        <w:t>Every meaningful entity must define consistency, failure mode, lifecycle, sensitivity, and schema evolution behavior.</w:t>
      </w:r>
    </w:p>
    <w:p>
      <w:pPr>
        <w:pStyle w:val="ListBullet"/>
      </w:pPr>
      <w:r>
        <w:t>Existing project refactors must preserve valid data and live contracts unless a breaking migration is explicitly approved.</w:t>
      </w:r>
    </w:p>
    <w:p>
      <w:pPr>
        <w:pStyle w:val="Heading1"/>
      </w:pPr>
      <w:r>
        <w:t>4. Data Architecture Layers</w:t>
      </w:r>
    </w:p>
    <w:p>
      <w:r>
        <w:t>A controlled data architecture has multiple layers. AI agents must not collapse these layers into one database table or one JSON object.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Layer</w:t>
            </w:r>
          </w:p>
        </w:tc>
        <w:tc>
          <w:tcPr>
            <w:tcW w:type="dxa" w:w="3408"/>
            <w:shd w:fill="D9EAF7"/>
          </w:tcPr>
          <w:p>
            <w:r>
              <w:rPr>
                <w:b/>
              </w:rPr>
              <w:t>Purpose</w:t>
            </w:r>
          </w:p>
        </w:tc>
        <w:tc>
          <w:tcPr>
            <w:tcW w:type="dxa" w:w="3408"/>
            <w:shd w:fill="D9EAF7"/>
          </w:tcPr>
          <w:p>
            <w:r>
              <w:rPr>
                <w:b/>
              </w:rPr>
              <w:t>Examples</w:t>
            </w:r>
          </w:p>
        </w:tc>
      </w:tr>
      <w:tr>
        <w:tc>
          <w:tcPr>
            <w:tcW w:type="dxa" w:w="3408"/>
            <w:vAlign w:val="top"/>
          </w:tcPr>
          <w:p>
            <w:r>
              <w:t>Conceptual model</w:t>
            </w:r>
          </w:p>
        </w:tc>
        <w:tc>
          <w:tcPr>
            <w:tcW w:type="dxa" w:w="3408"/>
            <w:vAlign w:val="top"/>
          </w:tcPr>
          <w:p>
            <w:r>
              <w:t>Business meaning and domain vocabulary.</w:t>
            </w:r>
          </w:p>
        </w:tc>
        <w:tc>
          <w:tcPr>
            <w:tcW w:type="dxa" w:w="3408"/>
            <w:vAlign w:val="top"/>
          </w:tcPr>
          <w:p>
            <w:r>
              <w:t>Customer, bid, inspection, article, invoice, user, project.</w:t>
            </w:r>
          </w:p>
        </w:tc>
      </w:tr>
      <w:tr>
        <w:tc>
          <w:tcPr>
            <w:tcW w:type="dxa" w:w="3408"/>
            <w:vAlign w:val="top"/>
          </w:tcPr>
          <w:p>
            <w:r>
              <w:t>Logical schema contract</w:t>
            </w:r>
          </w:p>
        </w:tc>
        <w:tc>
          <w:tcPr>
            <w:tcW w:type="dxa" w:w="3408"/>
            <w:vAlign w:val="top"/>
          </w:tcPr>
          <w:p>
            <w:r>
              <w:t>Portable shape and validation rules.</w:t>
            </w:r>
          </w:p>
        </w:tc>
        <w:tc>
          <w:tcPr>
            <w:tcW w:type="dxa" w:w="3408"/>
            <w:vAlign w:val="top"/>
          </w:tcPr>
          <w:p>
            <w:r>
              <w:t>JSON Schema, OpenAPI schema, AsyncAPI event schema.</w:t>
            </w:r>
          </w:p>
        </w:tc>
      </w:tr>
      <w:tr>
        <w:tc>
          <w:tcPr>
            <w:tcW w:type="dxa" w:w="3408"/>
            <w:vAlign w:val="top"/>
          </w:tcPr>
          <w:p>
            <w:r>
              <w:t>Application data port</w:t>
            </w:r>
          </w:p>
        </w:tc>
        <w:tc>
          <w:tcPr>
            <w:tcW w:type="dxa" w:w="3408"/>
            <w:vAlign w:val="top"/>
          </w:tcPr>
          <w:p>
            <w:r>
              <w:t>Code boundary used by business logic.</w:t>
            </w:r>
          </w:p>
        </w:tc>
        <w:tc>
          <w:tcPr>
            <w:tcW w:type="dxa" w:w="3408"/>
            <w:vAlign w:val="top"/>
          </w:tcPr>
          <w:p>
            <w:r>
              <w:t>Repository interface, query service, command handler, dataset gateway.</w:t>
            </w:r>
          </w:p>
        </w:tc>
      </w:tr>
      <w:tr>
        <w:tc>
          <w:tcPr>
            <w:tcW w:type="dxa" w:w="3408"/>
            <w:vAlign w:val="top"/>
          </w:tcPr>
          <w:p>
            <w:r>
              <w:t>Physical adapter</w:t>
            </w:r>
          </w:p>
        </w:tc>
        <w:tc>
          <w:tcPr>
            <w:tcW w:type="dxa" w:w="3408"/>
            <w:vAlign w:val="top"/>
          </w:tcPr>
          <w:p>
            <w:r>
              <w:t>Implementation technology.</w:t>
            </w:r>
          </w:p>
        </w:tc>
        <w:tc>
          <w:tcPr>
            <w:tcW w:type="dxa" w:w="3408"/>
            <w:vAlign w:val="top"/>
          </w:tcPr>
          <w:p>
            <w:r>
              <w:t>SQL table, document collection, object storage, stream, search index, cache, warehouse.</w:t>
            </w:r>
          </w:p>
        </w:tc>
      </w:tr>
      <w:tr>
        <w:tc>
          <w:tcPr>
            <w:tcW w:type="dxa" w:w="3408"/>
            <w:vAlign w:val="top"/>
          </w:tcPr>
          <w:p>
            <w:r>
              <w:t>Lifecycle/governance</w:t>
            </w:r>
          </w:p>
        </w:tc>
        <w:tc>
          <w:tcPr>
            <w:tcW w:type="dxa" w:w="3408"/>
            <w:vAlign w:val="top"/>
          </w:tcPr>
          <w:p>
            <w:r>
              <w:t>Retention, audit, deletion, archive, privacy, residency.</w:t>
            </w:r>
          </w:p>
        </w:tc>
        <w:tc>
          <w:tcPr>
            <w:tcW w:type="dxa" w:w="3408"/>
            <w:vAlign w:val="top"/>
          </w:tcPr>
          <w:p>
            <w:r>
              <w:t>Lifecycle matrix and policies.</w:t>
            </w:r>
          </w:p>
        </w:tc>
      </w:tr>
      <w:tr>
        <w:tc>
          <w:tcPr>
            <w:tcW w:type="dxa" w:w="3408"/>
            <w:vAlign w:val="top"/>
          </w:tcPr>
          <w:p>
            <w:r>
              <w:t>Operational datasets</w:t>
            </w:r>
          </w:p>
        </w:tc>
        <w:tc>
          <w:tcPr>
            <w:tcW w:type="dxa" w:w="3408"/>
            <w:vAlign w:val="top"/>
          </w:tcPr>
          <w:p>
            <w:r>
              <w:t>Read models, exports, imports, analytics, AI datasets.</w:t>
            </w:r>
          </w:p>
        </w:tc>
        <w:tc>
          <w:tcPr>
            <w:tcW w:type="dxa" w:w="3408"/>
            <w:vAlign w:val="top"/>
          </w:tcPr>
          <w:p>
            <w:r>
              <w:t>Projection, data mart, vector index, import batch.</w:t>
            </w:r>
          </w:p>
        </w:tc>
      </w:tr>
    </w:tbl>
    <w:p/>
    <w:p>
      <w:pPr>
        <w:pStyle w:val="Heading1"/>
      </w:pPr>
      <w:r>
        <w:t>5. Entity Classification</w:t>
      </w:r>
    </w:p>
    <w:p>
      <w:r>
        <w:t>Every entity, dataset, stream, file, projection, and cache must be classified before implementation. Classification prevents accidental overengineering and prevents weak data models from entering production.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Category</w:t>
            </w:r>
          </w:p>
        </w:tc>
        <w:tc>
          <w:tcPr>
            <w:tcW w:type="dxa" w:w="3408"/>
            <w:shd w:fill="D9EAF7"/>
          </w:tcPr>
          <w:p>
            <w:r>
              <w:rPr>
                <w:b/>
              </w:rPr>
              <w:t>Definition</w:t>
            </w:r>
          </w:p>
        </w:tc>
        <w:tc>
          <w:tcPr>
            <w:tcW w:type="dxa" w:w="3408"/>
            <w:shd w:fill="D9EAF7"/>
          </w:tcPr>
          <w:p>
            <w:r>
              <w:rPr>
                <w:b/>
              </w:rPr>
              <w:t>Handling</w:t>
            </w:r>
          </w:p>
        </w:tc>
      </w:tr>
      <w:tr>
        <w:tc>
          <w:tcPr>
            <w:tcW w:type="dxa" w:w="3408"/>
            <w:vAlign w:val="top"/>
          </w:tcPr>
          <w:p>
            <w:r>
              <w:t>Record of Truth</w:t>
            </w:r>
          </w:p>
        </w:tc>
        <w:tc>
          <w:tcPr>
            <w:tcW w:type="dxa" w:w="3408"/>
            <w:vAlign w:val="top"/>
          </w:tcPr>
          <w:p>
            <w:r>
              <w:t>Canonical business state.</w:t>
            </w:r>
          </w:p>
        </w:tc>
        <w:tc>
          <w:tcPr>
            <w:tcW w:type="dxa" w:w="3408"/>
            <w:vAlign w:val="top"/>
          </w:tcPr>
          <w:p>
            <w:r>
              <w:t>Schema-on-write, migrations, audit, lifecycle, tests.</w:t>
            </w:r>
          </w:p>
        </w:tc>
      </w:tr>
      <w:tr>
        <w:tc>
          <w:tcPr>
            <w:tcW w:type="dxa" w:w="3408"/>
            <w:vAlign w:val="top"/>
          </w:tcPr>
          <w:p>
            <w:r>
              <w:t>Derived Projection</w:t>
            </w:r>
          </w:p>
        </w:tc>
        <w:tc>
          <w:tcPr>
            <w:tcW w:type="dxa" w:w="3408"/>
            <w:vAlign w:val="top"/>
          </w:tcPr>
          <w:p>
            <w:r>
              <w:t>Query-optimized representation.</w:t>
            </w:r>
          </w:p>
        </w:tc>
        <w:tc>
          <w:tcPr>
            <w:tcW w:type="dxa" w:w="3408"/>
            <w:vAlign w:val="top"/>
          </w:tcPr>
          <w:p>
            <w:r>
              <w:t>Rebuildable, versioned, may be eventually consistent.</w:t>
            </w:r>
          </w:p>
        </w:tc>
      </w:tr>
      <w:tr>
        <w:tc>
          <w:tcPr>
            <w:tcW w:type="dxa" w:w="3408"/>
            <w:vAlign w:val="top"/>
          </w:tcPr>
          <w:p>
            <w:r>
              <w:t>Event / Ledger</w:t>
            </w:r>
          </w:p>
        </w:tc>
        <w:tc>
          <w:tcPr>
            <w:tcW w:type="dxa" w:w="3408"/>
            <w:vAlign w:val="top"/>
          </w:tcPr>
          <w:p>
            <w:r>
              <w:t>Append-only fact.</w:t>
            </w:r>
          </w:p>
        </w:tc>
        <w:tc>
          <w:tcPr>
            <w:tcW w:type="dxa" w:w="3408"/>
            <w:vAlign w:val="top"/>
          </w:tcPr>
          <w:p>
            <w:r>
              <w:t>Immutable or correction-by-append, idempotent consumers.</w:t>
            </w:r>
          </w:p>
        </w:tc>
      </w:tr>
      <w:tr>
        <w:tc>
          <w:tcPr>
            <w:tcW w:type="dxa" w:w="3408"/>
            <w:vAlign w:val="top"/>
          </w:tcPr>
          <w:p>
            <w:r>
              <w:t>Cache</w:t>
            </w:r>
          </w:p>
        </w:tc>
        <w:tc>
          <w:tcPr>
            <w:tcW w:type="dxa" w:w="3408"/>
            <w:vAlign w:val="top"/>
          </w:tcPr>
          <w:p>
            <w:r>
              <w:t>Temporary performance copy.</w:t>
            </w:r>
          </w:p>
        </w:tc>
        <w:tc>
          <w:tcPr>
            <w:tcW w:type="dxa" w:w="3408"/>
            <w:vAlign w:val="top"/>
          </w:tcPr>
          <w:p>
            <w:r>
              <w:t>TTL, rebuildable, never authoritative.</w:t>
            </w:r>
          </w:p>
        </w:tc>
      </w:tr>
      <w:tr>
        <w:tc>
          <w:tcPr>
            <w:tcW w:type="dxa" w:w="3408"/>
            <w:vAlign w:val="top"/>
          </w:tcPr>
          <w:p>
            <w:r>
              <w:t>Search Document</w:t>
            </w:r>
          </w:p>
        </w:tc>
        <w:tc>
          <w:tcPr>
            <w:tcW w:type="dxa" w:w="3408"/>
            <w:vAlign w:val="top"/>
          </w:tcPr>
          <w:p>
            <w:r>
              <w:t>Search-optimized projection.</w:t>
            </w:r>
          </w:p>
        </w:tc>
        <w:tc>
          <w:tcPr>
            <w:tcW w:type="dxa" w:w="3408"/>
            <w:vAlign w:val="top"/>
          </w:tcPr>
          <w:p>
            <w:r>
              <w:t>Redaction, rebuild strategy, stale tolerance.</w:t>
            </w:r>
          </w:p>
        </w:tc>
      </w:tr>
      <w:tr>
        <w:tc>
          <w:tcPr>
            <w:tcW w:type="dxa" w:w="3408"/>
            <w:vAlign w:val="top"/>
          </w:tcPr>
          <w:p>
            <w:r>
              <w:t>Analytical Dataset</w:t>
            </w:r>
          </w:p>
        </w:tc>
        <w:tc>
          <w:tcPr>
            <w:tcW w:type="dxa" w:w="3408"/>
            <w:vAlign w:val="top"/>
          </w:tcPr>
          <w:p>
            <w:r>
              <w:t>Aggregated/transformed reporting data.</w:t>
            </w:r>
          </w:p>
        </w:tc>
        <w:tc>
          <w:tcPr>
            <w:tcW w:type="dxa" w:w="3408"/>
            <w:vAlign w:val="top"/>
          </w:tcPr>
          <w:p>
            <w:r>
              <w:t>Lineage, freshness SLA, privacy screening.</w:t>
            </w:r>
          </w:p>
        </w:tc>
      </w:tr>
      <w:tr>
        <w:tc>
          <w:tcPr>
            <w:tcW w:type="dxa" w:w="3408"/>
            <w:vAlign w:val="top"/>
          </w:tcPr>
          <w:p>
            <w:r>
              <w:t>File / Blob</w:t>
            </w:r>
          </w:p>
        </w:tc>
        <w:tc>
          <w:tcPr>
            <w:tcW w:type="dxa" w:w="3408"/>
            <w:vAlign w:val="top"/>
          </w:tcPr>
          <w:p>
            <w:r>
              <w:t>Binary or large object.</w:t>
            </w:r>
          </w:p>
        </w:tc>
        <w:tc>
          <w:tcPr>
            <w:tcW w:type="dxa" w:w="3408"/>
            <w:vAlign w:val="top"/>
          </w:tcPr>
          <w:p>
            <w:r>
              <w:t>Metadata record, checksum, storage key, retention.</w:t>
            </w:r>
          </w:p>
        </w:tc>
      </w:tr>
      <w:tr>
        <w:tc>
          <w:tcPr>
            <w:tcW w:type="dxa" w:w="3408"/>
            <w:vAlign w:val="top"/>
          </w:tcPr>
          <w:p>
            <w:r>
              <w:t>AI / Vector Data</w:t>
            </w:r>
          </w:p>
        </w:tc>
        <w:tc>
          <w:tcPr>
            <w:tcW w:type="dxa" w:w="3408"/>
            <w:vAlign w:val="top"/>
          </w:tcPr>
          <w:p>
            <w:r>
              <w:t>Embeddings, features, prompts, generated output.</w:t>
            </w:r>
          </w:p>
        </w:tc>
        <w:tc>
          <w:tcPr>
            <w:tcW w:type="dxa" w:w="3408"/>
            <w:vAlign w:val="top"/>
          </w:tcPr>
          <w:p>
            <w:r>
              <w:t>Lineage, source version, reprocessing policy, privacy controls.</w:t>
            </w:r>
          </w:p>
        </w:tc>
      </w:tr>
      <w:tr>
        <w:tc>
          <w:tcPr>
            <w:tcW w:type="dxa" w:w="3408"/>
            <w:vAlign w:val="top"/>
          </w:tcPr>
          <w:p>
            <w:r>
              <w:t>External Mirror</w:t>
            </w:r>
          </w:p>
        </w:tc>
        <w:tc>
          <w:tcPr>
            <w:tcW w:type="dxa" w:w="3408"/>
            <w:vAlign w:val="top"/>
          </w:tcPr>
          <w:p>
            <w:r>
              <w:t>Copy of third-party source.</w:t>
            </w:r>
          </w:p>
        </w:tc>
        <w:tc>
          <w:tcPr>
            <w:tcW w:type="dxa" w:w="3408"/>
            <w:vAlign w:val="top"/>
          </w:tcPr>
          <w:p>
            <w:r>
              <w:t>Source ID, freshness, reconciliation rules.</w:t>
            </w:r>
          </w:p>
        </w:tc>
      </w:tr>
    </w:tbl>
    <w:p/>
    <w:p>
      <w:pPr>
        <w:pStyle w:val="Heading1"/>
      </w:pPr>
      <w:r>
        <w:t>6. The Multidimensional Decision Matrix</w:t>
      </w:r>
    </w:p>
    <w:p>
      <w:r>
        <w:t>The decision matrix must be applied to every non-trivial entity. It is not an academic exercise; it is the mechanism that keeps AI Coding Companions from inventing conflicting storage patterns across features.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Dimension</w:t>
            </w:r>
          </w:p>
        </w:tc>
        <w:tc>
          <w:tcPr>
            <w:tcW w:type="dxa" w:w="5112"/>
            <w:shd w:fill="D9EAF7"/>
          </w:tcPr>
          <w:p>
            <w:r>
              <w:rPr>
                <w:b/>
              </w:rPr>
              <w:t>Required Decision</w:t>
            </w:r>
          </w:p>
        </w:tc>
      </w:tr>
      <w:tr>
        <w:tc>
          <w:tcPr>
            <w:tcW w:type="dxa" w:w="5112"/>
            <w:vAlign w:val="top"/>
          </w:tcPr>
          <w:p>
            <w:r>
              <w:t>Business criticality</w:t>
            </w:r>
          </w:p>
        </w:tc>
        <w:tc>
          <w:tcPr>
            <w:tcW w:type="dxa" w:w="5112"/>
            <w:vAlign w:val="top"/>
          </w:tcPr>
          <w:p>
            <w:r>
              <w:t>Informational, operational, contractual, financial, legal, safety-critical, regulated.</w:t>
            </w:r>
          </w:p>
        </w:tc>
      </w:tr>
      <w:tr>
        <w:tc>
          <w:tcPr>
            <w:tcW w:type="dxa" w:w="5112"/>
            <w:vAlign w:val="top"/>
          </w:tcPr>
          <w:p>
            <w:r>
              <w:t>Truth status</w:t>
            </w:r>
          </w:p>
        </w:tc>
        <w:tc>
          <w:tcPr>
            <w:tcW w:type="dxa" w:w="5112"/>
            <w:vAlign w:val="top"/>
          </w:tcPr>
          <w:p>
            <w:r>
              <w:t>Truth, projection, cache, event, file, analytical, reference, mirror.</w:t>
            </w:r>
          </w:p>
        </w:tc>
      </w:tr>
      <w:tr>
        <w:tc>
          <w:tcPr>
            <w:tcW w:type="dxa" w:w="5112"/>
            <w:vAlign w:val="top"/>
          </w:tcPr>
          <w:p>
            <w:r>
              <w:t>Access pattern</w:t>
            </w:r>
          </w:p>
        </w:tc>
        <w:tc>
          <w:tcPr>
            <w:tcW w:type="dxa" w:w="5112"/>
            <w:vAlign w:val="top"/>
          </w:tcPr>
          <w:p>
            <w:r>
              <w:t>Read-heavy, write-heavy, append-only, aggregate-heavy, search-heavy, graph-like, time-series, batch.</w:t>
            </w:r>
          </w:p>
        </w:tc>
      </w:tr>
      <w:tr>
        <w:tc>
          <w:tcPr>
            <w:tcW w:type="dxa" w:w="5112"/>
            <w:vAlign w:val="top"/>
          </w:tcPr>
          <w:p>
            <w:r>
              <w:t>Write contention</w:t>
            </w:r>
          </w:p>
        </w:tc>
        <w:tc>
          <w:tcPr>
            <w:tcW w:type="dxa" w:w="5112"/>
            <w:vAlign w:val="top"/>
          </w:tcPr>
          <w:p>
            <w:r>
              <w:t>Single writer, low, high, collaborative, append-only.</w:t>
            </w:r>
          </w:p>
        </w:tc>
      </w:tr>
      <w:tr>
        <w:tc>
          <w:tcPr>
            <w:tcW w:type="dxa" w:w="5112"/>
            <w:vAlign w:val="top"/>
          </w:tcPr>
          <w:p>
            <w:r>
              <w:t>Consistency</w:t>
            </w:r>
          </w:p>
        </w:tc>
        <w:tc>
          <w:tcPr>
            <w:tcW w:type="dxa" w:w="5112"/>
            <w:vAlign w:val="top"/>
          </w:tcPr>
          <w:p>
            <w:r>
              <w:t>Strong, read-your-writes, bounded stale, eventual, immutable, offline reconciliation.</w:t>
            </w:r>
          </w:p>
        </w:tc>
      </w:tr>
      <w:tr>
        <w:tc>
          <w:tcPr>
            <w:tcW w:type="dxa" w:w="5112"/>
            <w:vAlign w:val="top"/>
          </w:tcPr>
          <w:p>
            <w:r>
              <w:t>Failure mode</w:t>
            </w:r>
          </w:p>
        </w:tc>
        <w:tc>
          <w:tcPr>
            <w:tcW w:type="dxa" w:w="5112"/>
            <w:vAlign w:val="top"/>
          </w:tcPr>
          <w:p>
            <w:r>
              <w:t>Deny, queue, retry, stale read, degraded read-only, reconcile later, manual review.</w:t>
            </w:r>
          </w:p>
        </w:tc>
      </w:tr>
      <w:tr>
        <w:tc>
          <w:tcPr>
            <w:tcW w:type="dxa" w:w="5112"/>
            <w:vAlign w:val="top"/>
          </w:tcPr>
          <w:p>
            <w:r>
              <w:t>Lifecycle</w:t>
            </w:r>
          </w:p>
        </w:tc>
        <w:tc>
          <w:tcPr>
            <w:tcW w:type="dxa" w:w="5112"/>
            <w:vAlign w:val="top"/>
          </w:tcPr>
          <w:p>
            <w:r>
              <w:t>Draft, active, locked, archived, soft-deleted, redacted, anonymized, expired, immutable.</w:t>
            </w:r>
          </w:p>
        </w:tc>
      </w:tr>
      <w:tr>
        <w:tc>
          <w:tcPr>
            <w:tcW w:type="dxa" w:w="5112"/>
            <w:vAlign w:val="top"/>
          </w:tcPr>
          <w:p>
            <w:r>
              <w:t>Sensitivity/residency</w:t>
            </w:r>
          </w:p>
        </w:tc>
        <w:tc>
          <w:tcPr>
            <w:tcW w:type="dxa" w:w="5112"/>
            <w:vAlign w:val="top"/>
          </w:tcPr>
          <w:p>
            <w:r>
              <w:t>Public/internal/confidential/restricted/regulated/secret and residency needs.</w:t>
            </w:r>
          </w:p>
        </w:tc>
      </w:tr>
      <w:tr>
        <w:tc>
          <w:tcPr>
            <w:tcW w:type="dxa" w:w="5112"/>
            <w:vAlign w:val="top"/>
          </w:tcPr>
          <w:p>
            <w:r>
              <w:t>Schema evolution</w:t>
            </w:r>
          </w:p>
        </w:tc>
        <w:tc>
          <w:tcPr>
            <w:tcW w:type="dxa" w:w="5112"/>
            <w:vAlign w:val="top"/>
          </w:tcPr>
          <w:p>
            <w:r>
              <w:t>Additive, transformable, versioned, breaking migration, dual-write.</w:t>
            </w:r>
          </w:p>
        </w:tc>
      </w:tr>
    </w:tbl>
    <w:p/>
    <w:p>
      <w:pPr>
        <w:pStyle w:val="Heading1"/>
      </w:pPr>
      <w:r>
        <w:t>7. Access Pattern Profiles</w:t>
      </w:r>
    </w:p>
    <w:p>
      <w:r>
        <w:t>Access pattern is the first practical signal for storage, indexing, projection, and eventing decisions. A read-heavy entity may need denormalized read models; a write-heavy entity may need append-only events, idempotency, and asynchronous processing. Search-heavy data may need a search projection. Analytical data may need delayed pipelines. Graph-like access may require explicit relationship models or a graph adapter after proof of need.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Profile</w:t>
            </w:r>
          </w:p>
        </w:tc>
        <w:tc>
          <w:tcPr>
            <w:tcW w:type="dxa" w:w="3408"/>
            <w:shd w:fill="D9EAF7"/>
          </w:tcPr>
          <w:p>
            <w:r>
              <w:rPr>
                <w:b/>
              </w:rPr>
              <w:t>Common Strategy</w:t>
            </w:r>
          </w:p>
        </w:tc>
        <w:tc>
          <w:tcPr>
            <w:tcW w:type="dxa" w:w="3408"/>
            <w:shd w:fill="D9EAF7"/>
          </w:tcPr>
          <w:p>
            <w:r>
              <w:rPr>
                <w:b/>
              </w:rPr>
              <w:t>Risk</w:t>
            </w:r>
          </w:p>
        </w:tc>
      </w:tr>
      <w:tr>
        <w:tc>
          <w:tcPr>
            <w:tcW w:type="dxa" w:w="3408"/>
            <w:vAlign w:val="top"/>
          </w:tcPr>
          <w:p>
            <w:r>
              <w:t>Read-heavy</w:t>
            </w:r>
          </w:p>
        </w:tc>
        <w:tc>
          <w:tcPr>
            <w:tcW w:type="dxa" w:w="3408"/>
            <w:vAlign w:val="top"/>
          </w:tcPr>
          <w:p>
            <w:r>
              <w:t>Indexes, projections, materialized views, cache.</w:t>
            </w:r>
          </w:p>
        </w:tc>
        <w:tc>
          <w:tcPr>
            <w:tcW w:type="dxa" w:w="3408"/>
            <w:vAlign w:val="top"/>
          </w:tcPr>
          <w:p>
            <w:r>
              <w:t>Denormalizing truth data too early.</w:t>
            </w:r>
          </w:p>
        </w:tc>
      </w:tr>
      <w:tr>
        <w:tc>
          <w:tcPr>
            <w:tcW w:type="dxa" w:w="3408"/>
            <w:vAlign w:val="top"/>
          </w:tcPr>
          <w:p>
            <w:r>
              <w:t>Write-heavy</w:t>
            </w:r>
          </w:p>
        </w:tc>
        <w:tc>
          <w:tcPr>
            <w:tcW w:type="dxa" w:w="3408"/>
            <w:vAlign w:val="top"/>
          </w:tcPr>
          <w:p>
            <w:r>
              <w:t>Append-only log, idempotent commands, async workers.</w:t>
            </w:r>
          </w:p>
        </w:tc>
        <w:tc>
          <w:tcPr>
            <w:tcW w:type="dxa" w:w="3408"/>
            <w:vAlign w:val="top"/>
          </w:tcPr>
          <w:p>
            <w:r>
              <w:t>Lock contention and duplicate processing.</w:t>
            </w:r>
          </w:p>
        </w:tc>
      </w:tr>
      <w:tr>
        <w:tc>
          <w:tcPr>
            <w:tcW w:type="dxa" w:w="3408"/>
            <w:vAlign w:val="top"/>
          </w:tcPr>
          <w:p>
            <w:r>
              <w:t>Search-heavy</w:t>
            </w:r>
          </w:p>
        </w:tc>
        <w:tc>
          <w:tcPr>
            <w:tcW w:type="dxa" w:w="3408"/>
            <w:vAlign w:val="top"/>
          </w:tcPr>
          <w:p>
            <w:r>
              <w:t>Search index projection.</w:t>
            </w:r>
          </w:p>
        </w:tc>
        <w:tc>
          <w:tcPr>
            <w:tcW w:type="dxa" w:w="3408"/>
            <w:vAlign w:val="top"/>
          </w:tcPr>
          <w:p>
            <w:r>
              <w:t>Leaking sensitive fields.</w:t>
            </w:r>
          </w:p>
        </w:tc>
      </w:tr>
      <w:tr>
        <w:tc>
          <w:tcPr>
            <w:tcW w:type="dxa" w:w="3408"/>
            <w:vAlign w:val="top"/>
          </w:tcPr>
          <w:p>
            <w:r>
              <w:t>Aggregate-heavy</w:t>
            </w:r>
          </w:p>
        </w:tc>
        <w:tc>
          <w:tcPr>
            <w:tcW w:type="dxa" w:w="3408"/>
            <w:vAlign w:val="top"/>
          </w:tcPr>
          <w:p>
            <w:r>
              <w:t>Summary tables or analytical pipeline.</w:t>
            </w:r>
          </w:p>
        </w:tc>
        <w:tc>
          <w:tcPr>
            <w:tcW w:type="dxa" w:w="3408"/>
            <w:vAlign w:val="top"/>
          </w:tcPr>
          <w:p>
            <w:r>
              <w:t>Stale metrics without freshness indicator.</w:t>
            </w:r>
          </w:p>
        </w:tc>
      </w:tr>
      <w:tr>
        <w:tc>
          <w:tcPr>
            <w:tcW w:type="dxa" w:w="3408"/>
            <w:vAlign w:val="top"/>
          </w:tcPr>
          <w:p>
            <w:r>
              <w:t>Graph-like</w:t>
            </w:r>
          </w:p>
        </w:tc>
        <w:tc>
          <w:tcPr>
            <w:tcW w:type="dxa" w:w="3408"/>
            <w:vAlign w:val="top"/>
          </w:tcPr>
          <w:p>
            <w:r>
              <w:t>Relationship entities or graph adapter.</w:t>
            </w:r>
          </w:p>
        </w:tc>
        <w:tc>
          <w:tcPr>
            <w:tcW w:type="dxa" w:w="3408"/>
            <w:vAlign w:val="top"/>
          </w:tcPr>
          <w:p>
            <w:r>
              <w:t>Hidden relationships in JSON blobs.</w:t>
            </w:r>
          </w:p>
        </w:tc>
      </w:tr>
      <w:tr>
        <w:tc>
          <w:tcPr>
            <w:tcW w:type="dxa" w:w="3408"/>
            <w:vAlign w:val="top"/>
          </w:tcPr>
          <w:p>
            <w:r>
              <w:t>Time-series</w:t>
            </w:r>
          </w:p>
        </w:tc>
        <w:tc>
          <w:tcPr>
            <w:tcW w:type="dxa" w:w="3408"/>
            <w:vAlign w:val="top"/>
          </w:tcPr>
          <w:p>
            <w:r>
              <w:t>Time-series adapter or partitioned data.</w:t>
            </w:r>
          </w:p>
        </w:tc>
        <w:tc>
          <w:tcPr>
            <w:tcW w:type="dxa" w:w="3408"/>
            <w:vAlign w:val="top"/>
          </w:tcPr>
          <w:p>
            <w:r>
              <w:t>Using transactional state tables for high-volume telemetry.</w:t>
            </w:r>
          </w:p>
        </w:tc>
      </w:tr>
    </w:tbl>
    <w:p/>
    <w:p>
      <w:pPr>
        <w:pStyle w:val="Heading1"/>
      </w:pPr>
      <w:r>
        <w:t>8. Consistency and Failure Mode</w:t>
      </w:r>
    </w:p>
    <w:p>
      <w:r>
        <w:t>For each entity, the architecture must decide the acceptable failure behavior. Strong consistency is justified for financial, security, ownership, inventory, legal, and safety-critical records. Eventual consistency is acceptable for feeds, notifications, search, analytics, and rebuildable projections when users and downstream systems can tolerate delay.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Model</w:t>
            </w:r>
          </w:p>
        </w:tc>
        <w:tc>
          <w:tcPr>
            <w:tcW w:type="dxa" w:w="3408"/>
            <w:shd w:fill="D9EAF7"/>
          </w:tcPr>
          <w:p>
            <w:r>
              <w:rPr>
                <w:b/>
              </w:rPr>
              <w:t>Use For</w:t>
            </w:r>
          </w:p>
        </w:tc>
        <w:tc>
          <w:tcPr>
            <w:tcW w:type="dxa" w:w="3408"/>
            <w:shd w:fill="D9EAF7"/>
          </w:tcPr>
          <w:p>
            <w:r>
              <w:rPr>
                <w:b/>
              </w:rPr>
              <w:t>Failure Behavior</w:t>
            </w:r>
          </w:p>
        </w:tc>
      </w:tr>
      <w:tr>
        <w:tc>
          <w:tcPr>
            <w:tcW w:type="dxa" w:w="3408"/>
            <w:vAlign w:val="top"/>
          </w:tcPr>
          <w:p>
            <w:r>
              <w:t>Strong consistency</w:t>
            </w:r>
          </w:p>
        </w:tc>
        <w:tc>
          <w:tcPr>
            <w:tcW w:type="dxa" w:w="3408"/>
            <w:vAlign w:val="top"/>
          </w:tcPr>
          <w:p>
            <w:r>
              <w:t>Security, billing, inventory, ownership, legal records.</w:t>
            </w:r>
          </w:p>
        </w:tc>
        <w:tc>
          <w:tcPr>
            <w:tcW w:type="dxa" w:w="3408"/>
            <w:vAlign w:val="top"/>
          </w:tcPr>
          <w:p>
            <w:r>
              <w:t>Block, reject, lock, or retry safely.</w:t>
            </w:r>
          </w:p>
        </w:tc>
      </w:tr>
      <w:tr>
        <w:tc>
          <w:tcPr>
            <w:tcW w:type="dxa" w:w="3408"/>
            <w:vAlign w:val="top"/>
          </w:tcPr>
          <w:p>
            <w:r>
              <w:t>Read-your-writes</w:t>
            </w:r>
          </w:p>
        </w:tc>
        <w:tc>
          <w:tcPr>
            <w:tcW w:type="dxa" w:w="3408"/>
            <w:vAlign w:val="top"/>
          </w:tcPr>
          <w:p>
            <w:r>
              <w:t>Interactive save flows.</w:t>
            </w:r>
          </w:p>
        </w:tc>
        <w:tc>
          <w:tcPr>
            <w:tcW w:type="dxa" w:w="3408"/>
            <w:vAlign w:val="top"/>
          </w:tcPr>
          <w:p>
            <w:r>
              <w:t>Route reads to authoritative source or session-aware projection.</w:t>
            </w:r>
          </w:p>
        </w:tc>
      </w:tr>
      <w:tr>
        <w:tc>
          <w:tcPr>
            <w:tcW w:type="dxa" w:w="3408"/>
            <w:vAlign w:val="top"/>
          </w:tcPr>
          <w:p>
            <w:r>
              <w:t>Bounded staleness</w:t>
            </w:r>
          </w:p>
        </w:tc>
        <w:tc>
          <w:tcPr>
            <w:tcW w:type="dxa" w:w="3408"/>
            <w:vAlign w:val="top"/>
          </w:tcPr>
          <w:p>
            <w:r>
              <w:t>Operational summaries.</w:t>
            </w:r>
          </w:p>
        </w:tc>
        <w:tc>
          <w:tcPr>
            <w:tcW w:type="dxa" w:w="3408"/>
            <w:vAlign w:val="top"/>
          </w:tcPr>
          <w:p>
            <w:r>
              <w:t>Show freshness or retry.</w:t>
            </w:r>
          </w:p>
        </w:tc>
      </w:tr>
      <w:tr>
        <w:tc>
          <w:tcPr>
            <w:tcW w:type="dxa" w:w="3408"/>
            <w:vAlign w:val="top"/>
          </w:tcPr>
          <w:p>
            <w:r>
              <w:t>Eventual consistency</w:t>
            </w:r>
          </w:p>
        </w:tc>
        <w:tc>
          <w:tcPr>
            <w:tcW w:type="dxa" w:w="3408"/>
            <w:vAlign w:val="top"/>
          </w:tcPr>
          <w:p>
            <w:r>
              <w:t>Search, feeds, notifications, analytics.</w:t>
            </w:r>
          </w:p>
        </w:tc>
        <w:tc>
          <w:tcPr>
            <w:tcW w:type="dxa" w:w="3408"/>
            <w:vAlign w:val="top"/>
          </w:tcPr>
          <w:p>
            <w:r>
              <w:t>Accept stale reads and reconcile.</w:t>
            </w:r>
          </w:p>
        </w:tc>
      </w:tr>
      <w:tr>
        <w:tc>
          <w:tcPr>
            <w:tcW w:type="dxa" w:w="3408"/>
            <w:vAlign w:val="top"/>
          </w:tcPr>
          <w:p>
            <w:r>
              <w:t>Append-only immutability</w:t>
            </w:r>
          </w:p>
        </w:tc>
        <w:tc>
          <w:tcPr>
            <w:tcW w:type="dxa" w:w="3408"/>
            <w:vAlign w:val="top"/>
          </w:tcPr>
          <w:p>
            <w:r>
              <w:t>Audit, ledger, irreversible facts.</w:t>
            </w:r>
          </w:p>
        </w:tc>
        <w:tc>
          <w:tcPr>
            <w:tcW w:type="dxa" w:w="3408"/>
            <w:vAlign w:val="top"/>
          </w:tcPr>
          <w:p>
            <w:r>
              <w:t>Append correction or reversal; do not mutate original.</w:t>
            </w:r>
          </w:p>
        </w:tc>
      </w:tr>
      <w:tr>
        <w:tc>
          <w:tcPr>
            <w:tcW w:type="dxa" w:w="3408"/>
            <w:vAlign w:val="top"/>
          </w:tcPr>
          <w:p>
            <w:r>
              <w:t>Offline reconciliation</w:t>
            </w:r>
          </w:p>
        </w:tc>
        <w:tc>
          <w:tcPr>
            <w:tcW w:type="dxa" w:w="3408"/>
            <w:vAlign w:val="top"/>
          </w:tcPr>
          <w:p>
            <w:r>
              <w:t>Mobile/edge/offline workflows.</w:t>
            </w:r>
          </w:p>
        </w:tc>
        <w:tc>
          <w:tcPr>
            <w:tcW w:type="dxa" w:w="3408"/>
            <w:vAlign w:val="top"/>
          </w:tcPr>
          <w:p>
            <w:r>
              <w:t>Detect conflicts and resolve by policy or human review.</w:t>
            </w:r>
          </w:p>
        </w:tc>
      </w:tr>
    </w:tbl>
    <w:p/>
    <w:p>
      <w:pPr>
        <w:pStyle w:val="Heading1"/>
      </w:pPr>
      <w:r>
        <w:t>9. Identity and Standard Types</w:t>
      </w:r>
    </w:p>
    <w:p>
      <w:r>
        <w:t>Portable systems require portable identifiers. External and cross-stack records should use UUIDv7, ULID, or another approved globally unique identifier. Local numeric IDs may exist internally, but should not be the only identity exposed to APIs, events, imports, exports, or integrations.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Concept</w:t>
            </w:r>
          </w:p>
        </w:tc>
        <w:tc>
          <w:tcPr>
            <w:tcW w:type="dxa" w:w="5112"/>
            <w:shd w:fill="D9EAF7"/>
          </w:tcPr>
          <w:p>
            <w:r>
              <w:rPr>
                <w:b/>
              </w:rPr>
              <w:t>Rule</w:t>
            </w:r>
          </w:p>
        </w:tc>
      </w:tr>
      <w:tr>
        <w:tc>
          <w:tcPr>
            <w:tcW w:type="dxa" w:w="5112"/>
            <w:vAlign w:val="top"/>
          </w:tcPr>
          <w:p>
            <w:r>
              <w:t>Identifiers</w:t>
            </w:r>
          </w:p>
        </w:tc>
        <w:tc>
          <w:tcPr>
            <w:tcW w:type="dxa" w:w="5112"/>
            <w:vAlign w:val="top"/>
          </w:tcPr>
          <w:p>
            <w:r>
              <w:t>Use globally unique portable IDs for external/cross-system records.</w:t>
            </w:r>
          </w:p>
        </w:tc>
      </w:tr>
      <w:tr>
        <w:tc>
          <w:tcPr>
            <w:tcW w:type="dxa" w:w="5112"/>
            <w:vAlign w:val="top"/>
          </w:tcPr>
          <w:p>
            <w:r>
              <w:t>Time</w:t>
            </w:r>
          </w:p>
        </w:tc>
        <w:tc>
          <w:tcPr>
            <w:tcW w:type="dxa" w:w="5112"/>
            <w:vAlign w:val="top"/>
          </w:tcPr>
          <w:p>
            <w:r>
              <w:t>Store ISO-8601 timestamps in UTC unless a local legal/business time is also required.</w:t>
            </w:r>
          </w:p>
        </w:tc>
      </w:tr>
      <w:tr>
        <w:tc>
          <w:tcPr>
            <w:tcW w:type="dxa" w:w="5112"/>
            <w:vAlign w:val="top"/>
          </w:tcPr>
          <w:p>
            <w:r>
              <w:t>Money</w:t>
            </w:r>
          </w:p>
        </w:tc>
        <w:tc>
          <w:tcPr>
            <w:tcW w:type="dxa" w:w="5112"/>
            <w:vAlign w:val="top"/>
          </w:tcPr>
          <w:p>
            <w:r>
              <w:t>Use currency code and decimal-safe amount or minor units; never binary floating point.</w:t>
            </w:r>
          </w:p>
        </w:tc>
      </w:tr>
      <w:tr>
        <w:tc>
          <w:tcPr>
            <w:tcW w:type="dxa" w:w="5112"/>
            <w:vAlign w:val="top"/>
          </w:tcPr>
          <w:p>
            <w:r>
              <w:t>Decimals/measurements</w:t>
            </w:r>
          </w:p>
        </w:tc>
        <w:tc>
          <w:tcPr>
            <w:tcW w:type="dxa" w:w="5112"/>
            <w:vAlign w:val="top"/>
          </w:tcPr>
          <w:p>
            <w:r>
              <w:t>Use decimal-safe storage and explicit units.</w:t>
            </w:r>
          </w:p>
        </w:tc>
      </w:tr>
      <w:tr>
        <w:tc>
          <w:tcPr>
            <w:tcW w:type="dxa" w:w="5112"/>
            <w:vAlign w:val="top"/>
          </w:tcPr>
          <w:p>
            <w:r>
              <w:t>Enums</w:t>
            </w:r>
          </w:p>
        </w:tc>
        <w:tc>
          <w:tcPr>
            <w:tcW w:type="dxa" w:w="5112"/>
            <w:vAlign w:val="top"/>
          </w:tcPr>
          <w:p>
            <w:r>
              <w:t>Document values and plan for unknown future values.</w:t>
            </w:r>
          </w:p>
        </w:tc>
      </w:tr>
      <w:tr>
        <w:tc>
          <w:tcPr>
            <w:tcW w:type="dxa" w:w="5112"/>
            <w:vAlign w:val="top"/>
          </w:tcPr>
          <w:p>
            <w:r>
              <w:t>Files</w:t>
            </w:r>
          </w:p>
        </w:tc>
        <w:tc>
          <w:tcPr>
            <w:tcW w:type="dxa" w:w="5112"/>
            <w:vAlign w:val="top"/>
          </w:tcPr>
          <w:p>
            <w:r>
              <w:t>Store metadata, MIME type, size, checksum, storage key, and retention class.</w:t>
            </w:r>
          </w:p>
        </w:tc>
      </w:tr>
    </w:tbl>
    <w:p/>
    <w:p>
      <w:pPr>
        <w:pStyle w:val="Heading1"/>
      </w:pPr>
      <w:r>
        <w:t>10. Schema Contracts</w:t>
      </w:r>
    </w:p>
    <w:p>
      <w:r>
        <w:t>The schema contract is the language-neutral representation of data. It is the shared agreement between backend, frontend, API, event consumers, import/export processes, analytics, and AI workflows. A physical database schema may support the contract, but it is not automatically the contract.</w:t>
      </w:r>
    </w:p>
    <w:p>
      <w:pPr>
        <w:pStyle w:val="ListBullet"/>
      </w:pPr>
      <w:r>
        <w:t>Entity schemas define records of truth.</w:t>
      </w:r>
    </w:p>
    <w:p>
      <w:pPr>
        <w:pStyle w:val="ListBullet"/>
      </w:pPr>
      <w:r>
        <w:t>OpenAPI schemas define HTTP request/response data.</w:t>
      </w:r>
    </w:p>
    <w:p>
      <w:pPr>
        <w:pStyle w:val="ListBullet"/>
      </w:pPr>
      <w:r>
        <w:t>AsyncAPI schemas define event and message payloads.</w:t>
      </w:r>
    </w:p>
    <w:p>
      <w:pPr>
        <w:pStyle w:val="ListBullet"/>
      </w:pPr>
      <w:r>
        <w:t>Import/export schemas define interchange formats.</w:t>
      </w:r>
    </w:p>
    <w:p>
      <w:pPr>
        <w:pStyle w:val="ListBullet"/>
      </w:pPr>
      <w:r>
        <w:t>Projection schemas define query/search/reporting read models.</w:t>
      </w:r>
    </w:p>
    <w:p>
      <w:pPr>
        <w:pStyle w:val="Heading1"/>
      </w:pPr>
      <w:r>
        <w:t>11. Schema Evolution and Migration</w:t>
      </w:r>
    </w:p>
    <w:p>
      <w:r>
        <w:t>Schema changes should be additive by default. Breaking changes require explicit planning because live data, APIs, exports, reports, tests, event consumers, and user workflows may depend on the old shape.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Change Type</w:t>
            </w:r>
          </w:p>
        </w:tc>
        <w:tc>
          <w:tcPr>
            <w:tcW w:type="dxa" w:w="5112"/>
            <w:shd w:fill="D9EAF7"/>
          </w:tcPr>
          <w:p>
            <w:r>
              <w:rPr>
                <w:b/>
              </w:rPr>
              <w:t>Risk</w:t>
            </w:r>
          </w:p>
        </w:tc>
      </w:tr>
      <w:tr>
        <w:tc>
          <w:tcPr>
            <w:tcW w:type="dxa" w:w="5112"/>
            <w:vAlign w:val="top"/>
          </w:tcPr>
          <w:p>
            <w:r>
              <w:t>Add nullable/defaulted field</w:t>
            </w:r>
          </w:p>
        </w:tc>
        <w:tc>
          <w:tcPr>
            <w:tcW w:type="dxa" w:w="5112"/>
            <w:vAlign w:val="top"/>
          </w:tcPr>
          <w:p>
            <w:r>
              <w:t>Usually safe.</w:t>
            </w:r>
          </w:p>
        </w:tc>
      </w:tr>
      <w:tr>
        <w:tc>
          <w:tcPr>
            <w:tcW w:type="dxa" w:w="5112"/>
            <w:vAlign w:val="top"/>
          </w:tcPr>
          <w:p>
            <w:r>
              <w:t>Add optional API response field</w:t>
            </w:r>
          </w:p>
        </w:tc>
        <w:tc>
          <w:tcPr>
            <w:tcW w:type="dxa" w:w="5112"/>
            <w:vAlign w:val="top"/>
          </w:tcPr>
          <w:p>
            <w:r>
              <w:t>Usually safe if consumers ignore unknown properties.</w:t>
            </w:r>
          </w:p>
        </w:tc>
      </w:tr>
      <w:tr>
        <w:tc>
          <w:tcPr>
            <w:tcW w:type="dxa" w:w="5112"/>
            <w:vAlign w:val="top"/>
          </w:tcPr>
          <w:p>
            <w:r>
              <w:t>Rename field</w:t>
            </w:r>
          </w:p>
        </w:tc>
        <w:tc>
          <w:tcPr>
            <w:tcW w:type="dxa" w:w="5112"/>
            <w:vAlign w:val="top"/>
          </w:tcPr>
          <w:p>
            <w:r>
              <w:t>Breaking unless compatibility layer exists.</w:t>
            </w:r>
          </w:p>
        </w:tc>
      </w:tr>
      <w:tr>
        <w:tc>
          <w:tcPr>
            <w:tcW w:type="dxa" w:w="5112"/>
            <w:vAlign w:val="top"/>
          </w:tcPr>
          <w:p>
            <w:r>
              <w:t>Change type/precision</w:t>
            </w:r>
          </w:p>
        </w:tc>
        <w:tc>
          <w:tcPr>
            <w:tcW w:type="dxa" w:w="5112"/>
            <w:vAlign w:val="top"/>
          </w:tcPr>
          <w:p>
            <w:r>
              <w:t>High risk; migration and validation required.</w:t>
            </w:r>
          </w:p>
        </w:tc>
      </w:tr>
      <w:tr>
        <w:tc>
          <w:tcPr>
            <w:tcW w:type="dxa" w:w="5112"/>
            <w:vAlign w:val="top"/>
          </w:tcPr>
          <w:p>
            <w:r>
              <w:t>Remove field</w:t>
            </w:r>
          </w:p>
        </w:tc>
        <w:tc>
          <w:tcPr>
            <w:tcW w:type="dxa" w:w="5112"/>
            <w:vAlign w:val="top"/>
          </w:tcPr>
          <w:p>
            <w:r>
              <w:t>Breaking for consumers and old records.</w:t>
            </w:r>
          </w:p>
        </w:tc>
      </w:tr>
      <w:tr>
        <w:tc>
          <w:tcPr>
            <w:tcW w:type="dxa" w:w="5112"/>
            <w:vAlign w:val="top"/>
          </w:tcPr>
          <w:p>
            <w:r>
              <w:t>Split/merge entity</w:t>
            </w:r>
          </w:p>
        </w:tc>
        <w:tc>
          <w:tcPr>
            <w:tcW w:type="dxa" w:w="5112"/>
            <w:vAlign w:val="top"/>
          </w:tcPr>
          <w:p>
            <w:r>
              <w:t>Requires backfill, compatibility, and rollback plan.</w:t>
            </w:r>
          </w:p>
        </w:tc>
      </w:tr>
      <w:tr>
        <w:tc>
          <w:tcPr>
            <w:tcW w:type="dxa" w:w="5112"/>
            <w:vAlign w:val="top"/>
          </w:tcPr>
          <w:p>
            <w:r>
              <w:t>Change identifier semantics</w:t>
            </w:r>
          </w:p>
        </w:tc>
        <w:tc>
          <w:tcPr>
            <w:tcW w:type="dxa" w:w="5112"/>
            <w:vAlign w:val="top"/>
          </w:tcPr>
          <w:p>
            <w:r>
              <w:t>Critical; requires mapping and contract review.</w:t>
            </w:r>
          </w:p>
        </w:tc>
      </w:tr>
    </w:tbl>
    <w:p/>
    <w:p>
      <w:pPr>
        <w:pStyle w:val="Heading1"/>
      </w:pPr>
      <w:r>
        <w:t>12. Lifecycle, Retention, and Sovereignty</w:t>
      </w:r>
    </w:p>
    <w:p>
      <w:r>
        <w:t>Lifecycle must be modeled explicitly. Draft, active, locked, archived, soft-deleted, redacted, anonymized, expired, and immutable states have different behavior. Right-to-be-forgotten requests do not always mean hard deletion; legal retention, audit evidence, finance, security, and safety requirements may require redaction or anonymization instead.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Concern</w:t>
            </w:r>
          </w:p>
        </w:tc>
        <w:tc>
          <w:tcPr>
            <w:tcW w:type="dxa" w:w="5112"/>
            <w:shd w:fill="D9EAF7"/>
          </w:tcPr>
          <w:p>
            <w:r>
              <w:rPr>
                <w:b/>
              </w:rPr>
              <w:t>Required Decision</w:t>
            </w:r>
          </w:p>
        </w:tc>
      </w:tr>
      <w:tr>
        <w:tc>
          <w:tcPr>
            <w:tcW w:type="dxa" w:w="5112"/>
            <w:vAlign w:val="top"/>
          </w:tcPr>
          <w:p>
            <w:r>
              <w:t>Retention</w:t>
            </w:r>
          </w:p>
        </w:tc>
        <w:tc>
          <w:tcPr>
            <w:tcW w:type="dxa" w:w="5112"/>
            <w:vAlign w:val="top"/>
          </w:tcPr>
          <w:p>
            <w:r>
              <w:t>How long the record is active, archived, and recoverable.</w:t>
            </w:r>
          </w:p>
        </w:tc>
      </w:tr>
      <w:tr>
        <w:tc>
          <w:tcPr>
            <w:tcW w:type="dxa" w:w="5112"/>
            <w:vAlign w:val="top"/>
          </w:tcPr>
          <w:p>
            <w:r>
              <w:t>Deletion</w:t>
            </w:r>
          </w:p>
        </w:tc>
        <w:tc>
          <w:tcPr>
            <w:tcW w:type="dxa" w:w="5112"/>
            <w:vAlign w:val="top"/>
          </w:tcPr>
          <w:p>
            <w:r>
              <w:t>Hard delete, soft delete, archive, redaction, anonymization, or immutable append-only.</w:t>
            </w:r>
          </w:p>
        </w:tc>
      </w:tr>
      <w:tr>
        <w:tc>
          <w:tcPr>
            <w:tcW w:type="dxa" w:w="5112"/>
            <w:vAlign w:val="top"/>
          </w:tcPr>
          <w:p>
            <w:r>
              <w:t>Sovereignty</w:t>
            </w:r>
          </w:p>
        </w:tc>
        <w:tc>
          <w:tcPr>
            <w:tcW w:type="dxa" w:w="5112"/>
            <w:vAlign w:val="top"/>
          </w:tcPr>
          <w:p>
            <w:r>
              <w:t>Region, tenant region, legal region, customer region, or physical silo requirement.</w:t>
            </w:r>
          </w:p>
        </w:tc>
      </w:tr>
      <w:tr>
        <w:tc>
          <w:tcPr>
            <w:tcW w:type="dxa" w:w="5112"/>
            <w:vAlign w:val="top"/>
          </w:tcPr>
          <w:p>
            <w:r>
              <w:t>Sensitivity</w:t>
            </w:r>
          </w:p>
        </w:tc>
        <w:tc>
          <w:tcPr>
            <w:tcW w:type="dxa" w:w="5112"/>
            <w:vAlign w:val="top"/>
          </w:tcPr>
          <w:p>
            <w:r>
              <w:t>Public, internal, confidential, restricted, regulated, secret.</w:t>
            </w:r>
          </w:p>
        </w:tc>
      </w:tr>
      <w:tr>
        <w:tc>
          <w:tcPr>
            <w:tcW w:type="dxa" w:w="5112"/>
            <w:vAlign w:val="top"/>
          </w:tcPr>
          <w:p>
            <w:r>
              <w:t>Auditability</w:t>
            </w:r>
          </w:p>
        </w:tc>
        <w:tc>
          <w:tcPr>
            <w:tcW w:type="dxa" w:w="5112"/>
            <w:vAlign w:val="top"/>
          </w:tcPr>
          <w:p>
            <w:r>
              <w:t>No audit, change log, privileged audit, append-only ledger, external evidence.</w:t>
            </w:r>
          </w:p>
        </w:tc>
      </w:tr>
    </w:tbl>
    <w:p/>
    <w:p>
      <w:pPr>
        <w:pStyle w:val="Heading1"/>
      </w:pPr>
      <w:r>
        <w:t>13. Storage Adapter Strategy</w:t>
      </w:r>
    </w:p>
    <w:p>
      <w:r>
        <w:t>The data foundation supports polyglot persistence, but only after the entity has been classified. Polyglot storage without governance becomes operational debt. Storage decisions must record the chosen adapter, rejected alternatives, reason, schema contract, migration impact, and tests.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Adapter Pattern</w:t>
            </w:r>
          </w:p>
        </w:tc>
        <w:tc>
          <w:tcPr>
            <w:tcW w:type="dxa" w:w="3408"/>
            <w:shd w:fill="D9EAF7"/>
          </w:tcPr>
          <w:p>
            <w:r>
              <w:rPr>
                <w:b/>
              </w:rPr>
              <w:t>Best Use</w:t>
            </w:r>
          </w:p>
        </w:tc>
        <w:tc>
          <w:tcPr>
            <w:tcW w:type="dxa" w:w="3408"/>
            <w:shd w:fill="D9EAF7"/>
          </w:tcPr>
          <w:p>
            <w:r>
              <w:rPr>
                <w:b/>
              </w:rPr>
              <w:t>Caution</w:t>
            </w:r>
          </w:p>
        </w:tc>
      </w:tr>
      <w:tr>
        <w:tc>
          <w:tcPr>
            <w:tcW w:type="dxa" w:w="3408"/>
            <w:vAlign w:val="top"/>
          </w:tcPr>
          <w:p>
            <w:r>
              <w:t>Relational / SQL</w:t>
            </w:r>
          </w:p>
        </w:tc>
        <w:tc>
          <w:tcPr>
            <w:tcW w:type="dxa" w:w="3408"/>
            <w:vAlign w:val="top"/>
          </w:tcPr>
          <w:p>
            <w:r>
              <w:t>Records of truth, constraints, transactions.</w:t>
            </w:r>
          </w:p>
        </w:tc>
        <w:tc>
          <w:tcPr>
            <w:tcW w:type="dxa" w:w="3408"/>
            <w:vAlign w:val="top"/>
          </w:tcPr>
          <w:p>
            <w:r>
              <w:t>Do not turn every variation into rigid schema too early.</w:t>
            </w:r>
          </w:p>
        </w:tc>
      </w:tr>
      <w:tr>
        <w:tc>
          <w:tcPr>
            <w:tcW w:type="dxa" w:w="3408"/>
            <w:vAlign w:val="top"/>
          </w:tcPr>
          <w:p>
            <w:r>
              <w:t>Document</w:t>
            </w:r>
          </w:p>
        </w:tc>
        <w:tc>
          <w:tcPr>
            <w:tcW w:type="dxa" w:w="3408"/>
            <w:vAlign w:val="top"/>
          </w:tcPr>
          <w:p>
            <w:r>
              <w:t>Nested/evolving aggregate data.</w:t>
            </w:r>
          </w:p>
        </w:tc>
        <w:tc>
          <w:tcPr>
            <w:tcW w:type="dxa" w:w="3408"/>
            <w:vAlign w:val="top"/>
          </w:tcPr>
          <w:p>
            <w:r>
              <w:t>Do not hide core relationships or permissions in blobs.</w:t>
            </w:r>
          </w:p>
        </w:tc>
      </w:tr>
      <w:tr>
        <w:tc>
          <w:tcPr>
            <w:tcW w:type="dxa" w:w="3408"/>
            <w:vAlign w:val="top"/>
          </w:tcPr>
          <w:p>
            <w:r>
              <w:t>Event stream / ledger</w:t>
            </w:r>
          </w:p>
        </w:tc>
        <w:tc>
          <w:tcPr>
            <w:tcW w:type="dxa" w:w="3408"/>
            <w:vAlign w:val="top"/>
          </w:tcPr>
          <w:p>
            <w:r>
              <w:t>Append-only history and async processing.</w:t>
            </w:r>
          </w:p>
        </w:tc>
        <w:tc>
          <w:tcPr>
            <w:tcW w:type="dxa" w:w="3408"/>
            <w:vAlign w:val="top"/>
          </w:tcPr>
          <w:p>
            <w:r>
              <w:t>Requires idempotency and retention.</w:t>
            </w:r>
          </w:p>
        </w:tc>
      </w:tr>
      <w:tr>
        <w:tc>
          <w:tcPr>
            <w:tcW w:type="dxa" w:w="3408"/>
            <w:vAlign w:val="top"/>
          </w:tcPr>
          <w:p>
            <w:r>
              <w:t>Key-value / cache</w:t>
            </w:r>
          </w:p>
        </w:tc>
        <w:tc>
          <w:tcPr>
            <w:tcW w:type="dxa" w:w="3408"/>
            <w:vAlign w:val="top"/>
          </w:tcPr>
          <w:p>
            <w:r>
              <w:t>Temporary performance layer.</w:t>
            </w:r>
          </w:p>
        </w:tc>
        <w:tc>
          <w:tcPr>
            <w:tcW w:type="dxa" w:w="3408"/>
            <w:vAlign w:val="top"/>
          </w:tcPr>
          <w:p>
            <w:r>
              <w:t>Never source of truth.</w:t>
            </w:r>
          </w:p>
        </w:tc>
      </w:tr>
      <w:tr>
        <w:tc>
          <w:tcPr>
            <w:tcW w:type="dxa" w:w="3408"/>
            <w:vAlign w:val="top"/>
          </w:tcPr>
          <w:p>
            <w:r>
              <w:t>Search index</w:t>
            </w:r>
          </w:p>
        </w:tc>
        <w:tc>
          <w:tcPr>
            <w:tcW w:type="dxa" w:w="3408"/>
            <w:vAlign w:val="top"/>
          </w:tcPr>
          <w:p>
            <w:r>
              <w:t>Full-text/faceted search.</w:t>
            </w:r>
          </w:p>
        </w:tc>
        <w:tc>
          <w:tcPr>
            <w:tcW w:type="dxa" w:w="3408"/>
            <w:vAlign w:val="top"/>
          </w:tcPr>
          <w:p>
            <w:r>
              <w:t>Projection only; redact sensitive fields.</w:t>
            </w:r>
          </w:p>
        </w:tc>
      </w:tr>
      <w:tr>
        <w:tc>
          <w:tcPr>
            <w:tcW w:type="dxa" w:w="3408"/>
            <w:vAlign w:val="top"/>
          </w:tcPr>
          <w:p>
            <w:r>
              <w:t>Object storage</w:t>
            </w:r>
          </w:p>
        </w:tc>
        <w:tc>
          <w:tcPr>
            <w:tcW w:type="dxa" w:w="3408"/>
            <w:vAlign w:val="top"/>
          </w:tcPr>
          <w:p>
            <w:r>
              <w:t>Files, media, exports, archives.</w:t>
            </w:r>
          </w:p>
        </w:tc>
        <w:tc>
          <w:tcPr>
            <w:tcW w:type="dxa" w:w="3408"/>
            <w:vAlign w:val="top"/>
          </w:tcPr>
          <w:p>
            <w:r>
              <w:t>Needs metadata, checksum, ACL, lifecycle.</w:t>
            </w:r>
          </w:p>
        </w:tc>
      </w:tr>
      <w:tr>
        <w:tc>
          <w:tcPr>
            <w:tcW w:type="dxa" w:w="3408"/>
            <w:vAlign w:val="top"/>
          </w:tcPr>
          <w:p>
            <w:r>
              <w:t>Warehouse/lake</w:t>
            </w:r>
          </w:p>
        </w:tc>
        <w:tc>
          <w:tcPr>
            <w:tcW w:type="dxa" w:w="3408"/>
            <w:vAlign w:val="top"/>
          </w:tcPr>
          <w:p>
            <w:r>
              <w:t>BI and analytics.</w:t>
            </w:r>
          </w:p>
        </w:tc>
        <w:tc>
          <w:tcPr>
            <w:tcW w:type="dxa" w:w="3408"/>
            <w:vAlign w:val="top"/>
          </w:tcPr>
          <w:p>
            <w:r>
              <w:t>Operational flows should not depend on delayed analytics.</w:t>
            </w:r>
          </w:p>
        </w:tc>
      </w:tr>
      <w:tr>
        <w:tc>
          <w:tcPr>
            <w:tcW w:type="dxa" w:w="3408"/>
            <w:vAlign w:val="top"/>
          </w:tcPr>
          <w:p>
            <w:r>
              <w:t>Vector store</w:t>
            </w:r>
          </w:p>
        </w:tc>
        <w:tc>
          <w:tcPr>
            <w:tcW w:type="dxa" w:w="3408"/>
            <w:vAlign w:val="top"/>
          </w:tcPr>
          <w:p>
            <w:r>
              <w:t>Embeddings and semantic retrieval.</w:t>
            </w:r>
          </w:p>
        </w:tc>
        <w:tc>
          <w:tcPr>
            <w:tcW w:type="dxa" w:w="3408"/>
            <w:vAlign w:val="top"/>
          </w:tcPr>
          <w:p>
            <w:r>
              <w:t>Needs lineage, privacy, re-embedding policy.</w:t>
            </w:r>
          </w:p>
        </w:tc>
      </w:tr>
    </w:tbl>
    <w:p/>
    <w:p>
      <w:pPr>
        <w:pStyle w:val="Heading1"/>
      </w:pPr>
      <w:r>
        <w:t>14. Dataset Implementation</w:t>
      </w:r>
    </w:p>
    <w:p>
      <w:r>
        <w:t>Datasets are governed data products. They may power operations, reporting, AI, search, import/export, audit, or integrations. They must have owners, source entities, schema versions, freshness rules, lineage, rebuild procedures, access controls, retention, and quality checks.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Dataset Category</w:t>
            </w:r>
          </w:p>
        </w:tc>
        <w:tc>
          <w:tcPr>
            <w:tcW w:type="dxa" w:w="5112"/>
            <w:shd w:fill="D9EAF7"/>
          </w:tcPr>
          <w:p>
            <w:r>
              <w:rPr>
                <w:b/>
              </w:rPr>
              <w:t>Purpose</w:t>
            </w:r>
          </w:p>
        </w:tc>
      </w:tr>
      <w:tr>
        <w:tc>
          <w:tcPr>
            <w:tcW w:type="dxa" w:w="5112"/>
            <w:vAlign w:val="top"/>
          </w:tcPr>
          <w:p>
            <w:r>
              <w:t>Operational</w:t>
            </w:r>
          </w:p>
        </w:tc>
        <w:tc>
          <w:tcPr>
            <w:tcW w:type="dxa" w:w="5112"/>
            <w:vAlign w:val="top"/>
          </w:tcPr>
          <w:p>
            <w:r>
              <w:t>User-facing application behavior.</w:t>
            </w:r>
          </w:p>
        </w:tc>
      </w:tr>
      <w:tr>
        <w:tc>
          <w:tcPr>
            <w:tcW w:type="dxa" w:w="5112"/>
            <w:vAlign w:val="top"/>
          </w:tcPr>
          <w:p>
            <w:r>
              <w:t>Reference</w:t>
            </w:r>
          </w:p>
        </w:tc>
        <w:tc>
          <w:tcPr>
            <w:tcW w:type="dxa" w:w="5112"/>
            <w:vAlign w:val="top"/>
          </w:tcPr>
          <w:p>
            <w:r>
              <w:t>Lookup values, taxonomies, seed data.</w:t>
            </w:r>
          </w:p>
        </w:tc>
      </w:tr>
      <w:tr>
        <w:tc>
          <w:tcPr>
            <w:tcW w:type="dxa" w:w="5112"/>
            <w:vAlign w:val="top"/>
          </w:tcPr>
          <w:p>
            <w:r>
              <w:t>Analytical</w:t>
            </w:r>
          </w:p>
        </w:tc>
        <w:tc>
          <w:tcPr>
            <w:tcW w:type="dxa" w:w="5112"/>
            <w:vAlign w:val="top"/>
          </w:tcPr>
          <w:p>
            <w:r>
              <w:t>Reporting, aggregates, BI.</w:t>
            </w:r>
          </w:p>
        </w:tc>
      </w:tr>
      <w:tr>
        <w:tc>
          <w:tcPr>
            <w:tcW w:type="dxa" w:w="5112"/>
            <w:vAlign w:val="top"/>
          </w:tcPr>
          <w:p>
            <w:r>
              <w:t>Integration</w:t>
            </w:r>
          </w:p>
        </w:tc>
        <w:tc>
          <w:tcPr>
            <w:tcW w:type="dxa" w:w="5112"/>
            <w:vAlign w:val="top"/>
          </w:tcPr>
          <w:p>
            <w:r>
              <w:t>External import/export or mirrored data.</w:t>
            </w:r>
          </w:p>
        </w:tc>
      </w:tr>
      <w:tr>
        <w:tc>
          <w:tcPr>
            <w:tcW w:type="dxa" w:w="5112"/>
            <w:vAlign w:val="top"/>
          </w:tcPr>
          <w:p>
            <w:r>
              <w:t>AI/ML</w:t>
            </w:r>
          </w:p>
        </w:tc>
        <w:tc>
          <w:tcPr>
            <w:tcW w:type="dxa" w:w="5112"/>
            <w:vAlign w:val="top"/>
          </w:tcPr>
          <w:p>
            <w:r>
              <w:t>Embeddings, labels, training/evaluation sets, generated outputs.</w:t>
            </w:r>
          </w:p>
        </w:tc>
      </w:tr>
      <w:tr>
        <w:tc>
          <w:tcPr>
            <w:tcW w:type="dxa" w:w="5112"/>
            <w:vAlign w:val="top"/>
          </w:tcPr>
          <w:p>
            <w:r>
              <w:t>Audit/Evidence</w:t>
            </w:r>
          </w:p>
        </w:tc>
        <w:tc>
          <w:tcPr>
            <w:tcW w:type="dxa" w:w="5112"/>
            <w:vAlign w:val="top"/>
          </w:tcPr>
          <w:p>
            <w:r>
              <w:t>Compliance, legal, historical proof.</w:t>
            </w:r>
          </w:p>
        </w:tc>
      </w:tr>
    </w:tbl>
    <w:p/>
    <w:p>
      <w:pPr>
        <w:pStyle w:val="Heading1"/>
      </w:pPr>
      <w:r>
        <w:t>15. Events, Queues, and Derived Data</w:t>
      </w:r>
    </w:p>
    <w:p>
      <w:r>
        <w:t>Events and queues are data systems. They require versioned schemas, event IDs, occurrence timestamps, tenant/scope context, correlation and causation IDs, idempotency, retention, replay strategy, and dead-letter behavior. Events should represent facts that happened unless the stream is explicitly a command queue.</w:t>
      </w:r>
    </w:p>
    <w:p>
      <w:pPr>
        <w:pStyle w:val="ListBullet"/>
      </w:pPr>
      <w:r>
        <w:t>Use stable event names and versions.</w:t>
      </w:r>
    </w:p>
    <w:p>
      <w:pPr>
        <w:pStyle w:val="ListBullet"/>
      </w:pPr>
      <w:r>
        <w:t>Validate event payloads.</w:t>
      </w:r>
    </w:p>
    <w:p>
      <w:pPr>
        <w:pStyle w:val="ListBullet"/>
      </w:pPr>
      <w:r>
        <w:t>Make consumers idempotent.</w:t>
      </w:r>
    </w:p>
    <w:p>
      <w:pPr>
        <w:pStyle w:val="ListBullet"/>
      </w:pPr>
      <w:r>
        <w:t>Document ordering assumptions.</w:t>
      </w:r>
    </w:p>
    <w:p>
      <w:pPr>
        <w:pStyle w:val="ListBullet"/>
      </w:pPr>
      <w:r>
        <w:t>Keep sensitive data out of events unless approved.</w:t>
      </w:r>
    </w:p>
    <w:p>
      <w:pPr>
        <w:pStyle w:val="ListBullet"/>
      </w:pPr>
      <w:r>
        <w:t>Define replay and dead-letter strategy.</w:t>
      </w:r>
    </w:p>
    <w:p>
      <w:pPr>
        <w:pStyle w:val="Heading1"/>
      </w:pPr>
      <w:r>
        <w:t>16. Imports, Exports, and Interchange</w:t>
      </w:r>
    </w:p>
    <w:p>
      <w:r>
        <w:t>Imports and exports must be treated as contracts. They often become long-lived integrations even when originally built as admin tools. The project should define encoding, delimiter, headers, null representation, date format, schema version, validation, dry-run behavior, batch metadata, error reporting, idempotency, and audit requirements.</w:t>
      </w:r>
    </w:p>
    <w:p>
      <w:pPr>
        <w:pStyle w:val="Heading1"/>
      </w:pPr>
      <w:r>
        <w:t>17. New Project Implementation</w:t>
      </w:r>
    </w:p>
    <w:p>
      <w:pPr>
        <w:pStyle w:val="ListBullet"/>
      </w:pPr>
      <w:r>
        <w:t>Create the data foundation reference and data adapter.</w:t>
      </w:r>
    </w:p>
    <w:p>
      <w:pPr>
        <w:pStyle w:val="ListBullet"/>
      </w:pPr>
      <w:r>
        <w:t>Create entity and dataset inventories for the first vertical slice.</w:t>
      </w:r>
    </w:p>
    <w:p>
      <w:pPr>
        <w:pStyle w:val="ListBullet"/>
      </w:pPr>
      <w:r>
        <w:t>Define universal ID strategy.</w:t>
      </w:r>
    </w:p>
    <w:p>
      <w:pPr>
        <w:pStyle w:val="ListBullet"/>
      </w:pPr>
      <w:r>
        <w:t>Define schema contract locations and migration tooling.</w:t>
      </w:r>
    </w:p>
    <w:p>
      <w:pPr>
        <w:pStyle w:val="ListBullet"/>
      </w:pPr>
      <w:r>
        <w:t>Define tenancy/scope model even if initial release is single-tenant.</w:t>
      </w:r>
    </w:p>
    <w:p>
      <w:pPr>
        <w:pStyle w:val="ListBullet"/>
      </w:pPr>
      <w:r>
        <w:t>Implement first entity through schema, migration, repository/port, API contract, access-control checks, UI usage, tests, and documentation.</w:t>
      </w:r>
    </w:p>
    <w:p>
      <w:pPr>
        <w:pStyle w:val="Heading1"/>
      </w:pPr>
      <w:r>
        <w:t>18. Existing Project Refactoring</w:t>
      </w:r>
    </w:p>
    <w:p>
      <w:r>
        <w:t>Existing projects require audit before action. The AI Coding Companion must inventory current models, tables, collections, migrations, files, caches, search indexes, event streams, imports, exports, reports, and tests before changing structure. Valid behavior must be preserved unless a migration explicitly replaces it.</w:t>
      </w:r>
    </w:p>
    <w:p>
      <w:pPr>
        <w:pStyle w:val="ListBullet"/>
      </w:pPr>
      <w:r>
        <w:t>Identify records of truth and derived data.</w:t>
      </w:r>
    </w:p>
    <w:p>
      <w:pPr>
        <w:pStyle w:val="ListBullet"/>
      </w:pPr>
      <w:r>
        <w:t>Find live API, export, event, and report consumers.</w:t>
      </w:r>
    </w:p>
    <w:p>
      <w:pPr>
        <w:pStyle w:val="ListBullet"/>
      </w:pPr>
      <w:r>
        <w:t>Identify risky fields: IDs, money, dates, ownership, status, deletion flags, permissions.</w:t>
      </w:r>
    </w:p>
    <w:p>
      <w:pPr>
        <w:pStyle w:val="ListBullet"/>
      </w:pPr>
      <w:r>
        <w:t>Avoid blind rename/delete operations.</w:t>
      </w:r>
    </w:p>
    <w:p>
      <w:pPr>
        <w:pStyle w:val="ListBullet"/>
      </w:pPr>
      <w:r>
        <w:t>Use compatibility views, dual-read/write, backfills, and adapter translations when needed.</w:t>
      </w:r>
    </w:p>
    <w:p>
      <w:pPr>
        <w:pStyle w:val="ListBullet"/>
      </w:pPr>
      <w:r>
        <w:t>Add tests before compatibility-sensitive migrations.</w:t>
      </w:r>
    </w:p>
    <w:p>
      <w:pPr>
        <w:pStyle w:val="Heading1"/>
      </w:pPr>
      <w:r>
        <w:t>19. Testing and Review</w:t>
      </w:r>
    </w:p>
    <w:p>
      <w:r>
        <w:t>Data work is not complete because the migration ran once locally. A professional data foundation requires automated proof that data can be created, read, migrated, validated, exported, retained, deleted, restored, redacted, and rebuilt according to the documented model.</w:t>
      </w:r>
    </w:p>
    <w:p>
      <w:pPr>
        <w:pStyle w:val="ListBullet"/>
      </w:pPr>
      <w:r>
        <w:t>Schema validation tests.</w:t>
      </w:r>
    </w:p>
    <w:p>
      <w:pPr>
        <w:pStyle w:val="ListBullet"/>
      </w:pPr>
      <w:r>
        <w:t>Migration tests.</w:t>
      </w:r>
    </w:p>
    <w:p>
      <w:pPr>
        <w:pStyle w:val="ListBullet"/>
      </w:pPr>
      <w:r>
        <w:t>Old-record readability tests.</w:t>
      </w:r>
    </w:p>
    <w:p>
      <w:pPr>
        <w:pStyle w:val="ListBullet"/>
      </w:pPr>
      <w:r>
        <w:t>Tenancy/scope containment tests.</w:t>
      </w:r>
    </w:p>
    <w:p>
      <w:pPr>
        <w:pStyle w:val="ListBullet"/>
      </w:pPr>
      <w:r>
        <w:t>Lifecycle/deletion/retention tests.</w:t>
      </w:r>
    </w:p>
    <w:p>
      <w:pPr>
        <w:pStyle w:val="ListBullet"/>
      </w:pPr>
      <w:r>
        <w:t>Import/export tests.</w:t>
      </w:r>
    </w:p>
    <w:p>
      <w:pPr>
        <w:pStyle w:val="ListBullet"/>
      </w:pPr>
      <w:r>
        <w:t>Event idempotency tests.</w:t>
      </w:r>
    </w:p>
    <w:p>
      <w:pPr>
        <w:pStyle w:val="ListBullet"/>
      </w:pPr>
      <w:r>
        <w:t>Projection rebuild tests.</w:t>
      </w:r>
    </w:p>
    <w:p>
      <w:pPr>
        <w:pStyle w:val="ListBullet"/>
      </w:pPr>
      <w:r>
        <w:t>Sensitive-data leakage tests.</w:t>
      </w:r>
    </w:p>
    <w:p>
      <w:pPr>
        <w:pStyle w:val="Heading1"/>
      </w:pPr>
      <w:r>
        <w:t>20. AI Coding Companion Governance</w:t>
      </w:r>
    </w:p>
    <w:p>
      <w:r>
        <w:t>The AI Coding Companion must treat data changes as architecture changes, not merely code changes. Any implementation pass that creates or modifies meaningful data structures must report classified entities, storage decisions, schema contract changes, migrations/backfills, lifecycle impact, compatibility impact, tests, and deferred risks.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Required Repository File</w:t>
            </w:r>
          </w:p>
        </w:tc>
        <w:tc>
          <w:tcPr>
            <w:tcW w:type="dxa" w:w="5112"/>
            <w:shd w:fill="D9EAF7"/>
          </w:tcPr>
          <w:p>
            <w:r>
              <w:rPr>
                <w:b/>
              </w:rPr>
              <w:t>Purpose</w:t>
            </w:r>
          </w:p>
        </w:tc>
      </w:tr>
      <w:tr>
        <w:tc>
          <w:tcPr>
            <w:tcW w:type="dxa" w:w="5112"/>
            <w:vAlign w:val="top"/>
          </w:tcPr>
          <w:p>
            <w:r>
              <w:t>data-foundation-reference.md</w:t>
            </w:r>
          </w:p>
        </w:tc>
        <w:tc>
          <w:tcPr>
            <w:tcW w:type="dxa" w:w="5112"/>
            <w:vAlign w:val="top"/>
          </w:tcPr>
          <w:p>
            <w:r>
              <w:t>Operational standard for agents and reviewers.</w:t>
            </w:r>
          </w:p>
        </w:tc>
      </w:tr>
      <w:tr>
        <w:tc>
          <w:tcPr>
            <w:tcW w:type="dxa" w:w="5112"/>
            <w:vAlign w:val="top"/>
          </w:tcPr>
          <w:p>
            <w:r>
              <w:t>data-adapter.md</w:t>
            </w:r>
          </w:p>
        </w:tc>
        <w:tc>
          <w:tcPr>
            <w:tcW w:type="dxa" w:w="5112"/>
            <w:vAlign w:val="top"/>
          </w:tcPr>
          <w:p>
            <w:r>
              <w:t>Project-specific mapping to stack, storage, contracts, and tools.</w:t>
            </w:r>
          </w:p>
        </w:tc>
      </w:tr>
      <w:tr>
        <w:tc>
          <w:tcPr>
            <w:tcW w:type="dxa" w:w="5112"/>
            <w:vAlign w:val="top"/>
          </w:tcPr>
          <w:p>
            <w:r>
              <w:t>data-entity-inventory.md</w:t>
            </w:r>
          </w:p>
        </w:tc>
        <w:tc>
          <w:tcPr>
            <w:tcW w:type="dxa" w:w="5112"/>
            <w:vAlign w:val="top"/>
          </w:tcPr>
          <w:p>
            <w:r>
              <w:t>Canonical entity tracking.</w:t>
            </w:r>
          </w:p>
        </w:tc>
      </w:tr>
      <w:tr>
        <w:tc>
          <w:tcPr>
            <w:tcW w:type="dxa" w:w="5112"/>
            <w:vAlign w:val="top"/>
          </w:tcPr>
          <w:p>
            <w:r>
              <w:t>data-dataset-inventory.md</w:t>
            </w:r>
          </w:p>
        </w:tc>
        <w:tc>
          <w:tcPr>
            <w:tcW w:type="dxa" w:w="5112"/>
            <w:vAlign w:val="top"/>
          </w:tcPr>
          <w:p>
            <w:r>
              <w:t>Dataset tracking.</w:t>
            </w:r>
          </w:p>
        </w:tc>
      </w:tr>
      <w:tr>
        <w:tc>
          <w:tcPr>
            <w:tcW w:type="dxa" w:w="5112"/>
            <w:vAlign w:val="top"/>
          </w:tcPr>
          <w:p>
            <w:r>
              <w:t>data-storage-decision-matrix.md</w:t>
            </w:r>
          </w:p>
        </w:tc>
        <w:tc>
          <w:tcPr>
            <w:tcW w:type="dxa" w:w="5112"/>
            <w:vAlign w:val="top"/>
          </w:tcPr>
          <w:p>
            <w:r>
              <w:t>Storage reasoning and rejected alternatives.</w:t>
            </w:r>
          </w:p>
        </w:tc>
      </w:tr>
      <w:tr>
        <w:tc>
          <w:tcPr>
            <w:tcW w:type="dxa" w:w="5112"/>
            <w:vAlign w:val="top"/>
          </w:tcPr>
          <w:p>
            <w:r>
              <w:t>data-lifecycle-matrix.md</w:t>
            </w:r>
          </w:p>
        </w:tc>
        <w:tc>
          <w:tcPr>
            <w:tcW w:type="dxa" w:w="5112"/>
            <w:vAlign w:val="top"/>
          </w:tcPr>
          <w:p>
            <w:r>
              <w:t>Retention, deletion, archive, sovereignty, audit.</w:t>
            </w:r>
          </w:p>
        </w:tc>
      </w:tr>
      <w:tr>
        <w:tc>
          <w:tcPr>
            <w:tcW w:type="dxa" w:w="5112"/>
            <w:vAlign w:val="top"/>
          </w:tcPr>
          <w:p>
            <w:r>
              <w:t>data-schema-evolution-log.md</w:t>
            </w:r>
          </w:p>
        </w:tc>
        <w:tc>
          <w:tcPr>
            <w:tcW w:type="dxa" w:w="5112"/>
            <w:vAlign w:val="top"/>
          </w:tcPr>
          <w:p>
            <w:r>
              <w:t>Schema changes and compatibility.</w:t>
            </w:r>
          </w:p>
        </w:tc>
      </w:tr>
      <w:tr>
        <w:tc>
          <w:tcPr>
            <w:tcW w:type="dxa" w:w="5112"/>
            <w:vAlign w:val="top"/>
          </w:tcPr>
          <w:p>
            <w:r>
              <w:t>data-test-matrix.md</w:t>
            </w:r>
          </w:p>
        </w:tc>
        <w:tc>
          <w:tcPr>
            <w:tcW w:type="dxa" w:w="5112"/>
            <w:vAlign w:val="top"/>
          </w:tcPr>
          <w:p>
            <w:r>
              <w:t>Required validation and migration tests.</w:t>
            </w:r>
          </w:p>
        </w:tc>
      </w:tr>
      <w:tr>
        <w:tc>
          <w:tcPr>
            <w:tcW w:type="dxa" w:w="5112"/>
            <w:vAlign w:val="top"/>
          </w:tcPr>
          <w:p>
            <w:r>
              <w:t>data-review-checklist.md</w:t>
            </w:r>
          </w:p>
        </w:tc>
        <w:tc>
          <w:tcPr>
            <w:tcW w:type="dxa" w:w="5112"/>
            <w:vAlign w:val="top"/>
          </w:tcPr>
          <w:p>
            <w:r>
              <w:t>Acceptance checklist.</w:t>
            </w:r>
          </w:p>
        </w:tc>
      </w:tr>
    </w:tbl>
    <w:p/>
    <w:p>
      <w:pPr>
        <w:pStyle w:val="Heading1"/>
      </w:pPr>
      <w:r>
        <w:t>Appendix A: Minimum MVP</w:t>
      </w:r>
    </w:p>
    <w:p>
      <w:pPr>
        <w:pStyle w:val="ListBullet"/>
      </w:pPr>
      <w:r>
        <w:t>Entity inventory.</w:t>
      </w:r>
    </w:p>
    <w:p>
      <w:pPr>
        <w:pStyle w:val="ListBullet"/>
      </w:pPr>
      <w:r>
        <w:t>Data adapter note.</w:t>
      </w:r>
    </w:p>
    <w:p>
      <w:pPr>
        <w:pStyle w:val="ListBullet"/>
      </w:pPr>
      <w:r>
        <w:t>Universal ID strategy.</w:t>
      </w:r>
    </w:p>
    <w:p>
      <w:pPr>
        <w:pStyle w:val="ListBullet"/>
      </w:pPr>
      <w:r>
        <w:t>Migration strategy.</w:t>
      </w:r>
    </w:p>
    <w:p>
      <w:pPr>
        <w:pStyle w:val="ListBullet"/>
      </w:pPr>
      <w:r>
        <w:t>Schema contract strategy.</w:t>
      </w:r>
    </w:p>
    <w:p>
      <w:pPr>
        <w:pStyle w:val="ListBullet"/>
      </w:pPr>
      <w:r>
        <w:t>Basic lifecycle/deletion policy.</w:t>
      </w:r>
    </w:p>
    <w:p>
      <w:pPr>
        <w:pStyle w:val="ListBullet"/>
      </w:pPr>
      <w:r>
        <w:t>Basic tenancy/scope model if applicable.</w:t>
      </w:r>
    </w:p>
    <w:p>
      <w:pPr>
        <w:pStyle w:val="ListBullet"/>
      </w:pPr>
      <w:r>
        <w:t>Schema validation and migration tests.</w:t>
      </w:r>
    </w:p>
    <w:p>
      <w:pPr>
        <w:pStyle w:val="ListBullet"/>
      </w:pPr>
      <w:r>
        <w:t>Alignment with API and access-control contracts.</w:t>
      </w:r>
    </w:p>
    <w:p>
      <w:pPr>
        <w:pStyle w:val="Heading1"/>
      </w:pPr>
      <w:r>
        <w:t>Appendix B: Red Flags</w:t>
      </w:r>
    </w:p>
    <w:p>
      <w:pPr>
        <w:pStyle w:val="ListBullet"/>
      </w:pPr>
      <w:r>
        <w:t>A database is selected before entity classification.</w:t>
      </w:r>
    </w:p>
    <w:p>
      <w:pPr>
        <w:pStyle w:val="ListBullet"/>
      </w:pPr>
      <w:r>
        <w:t>Money is stored in floating point.</w:t>
      </w:r>
    </w:p>
    <w:p>
      <w:pPr>
        <w:pStyle w:val="ListBullet"/>
      </w:pPr>
      <w:r>
        <w:t>Internal auto-increment IDs are exposed as public identifiers with no stable external ID.</w:t>
      </w:r>
    </w:p>
    <w:p>
      <w:pPr>
        <w:pStyle w:val="ListBullet"/>
      </w:pPr>
      <w:r>
        <w:t>Search indexes or caches become source of truth.</w:t>
      </w:r>
    </w:p>
    <w:p>
      <w:pPr>
        <w:pStyle w:val="ListBullet"/>
      </w:pPr>
      <w:r>
        <w:t>Hard deletes are added without lifecycle policy.</w:t>
      </w:r>
    </w:p>
    <w:p>
      <w:pPr>
        <w:pStyle w:val="ListBullet"/>
      </w:pPr>
      <w:r>
        <w:t>Tenant data is mixed in caches, files, queues, exports, or analytics.</w:t>
      </w:r>
    </w:p>
    <w:p>
      <w:pPr>
        <w:pStyle w:val="ListBullet"/>
      </w:pPr>
      <w:r>
        <w:t>Schema fields are renamed or removed without versioning.</w:t>
      </w:r>
    </w:p>
    <w:p>
      <w:pPr>
        <w:pStyle w:val="ListBullet"/>
      </w:pPr>
      <w:r>
        <w:t>Event consumers are not idempotent.</w:t>
      </w:r>
    </w:p>
    <w:p>
      <w:pPr>
        <w:pStyle w:val="ListBullet"/>
      </w:pPr>
      <w:r>
        <w:t>Migrations lack tests.</w:t>
      </w:r>
    </w:p>
    <w:p>
      <w:pPr>
        <w:pStyle w:val="ListBullet"/>
      </w:pPr>
      <w:r>
        <w:t>AI agents silently change field meaning.</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Universal Data Foundation Model — Version 1.0-Universal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