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UNIVERSAL OBSERVABILITY / AUDIT / TELEMETRY FOUNDATION</w:t>
      </w:r>
    </w:p>
    <w:p>
      <w:pPr>
        <w:jc w:val="center"/>
      </w:pPr>
      <w:r>
        <w:rPr>
          <w:i/>
          <w:sz w:val="20"/>
        </w:rPr>
        <w:t>Human and AI Implementation Manual | Version 1.0-Universal</w:t>
      </w:r>
    </w:p>
    <w:p/>
    <w:p>
      <w:r>
        <w:t>Purpose. This manual defines a reusable, stack-agnostic observability, audit, and telemetry foundation for new and existing application projects. It supports shared hosting, open-source applications, self-hosted servers, private/on-prem systems, and scalable SaaS deployments without forcing a vendor or cloud provider.</w:t>
      </w:r>
    </w:p>
    <w:p>
      <w:pPr>
        <w:pStyle w:val="Heading1"/>
      </w:pPr>
      <w:r>
        <w:t>Executive Summary</w:t>
      </w:r>
    </w:p>
    <w:p>
      <w:r>
        <w:t>The Observability / Audit / Telemetry Foundation makes application behavior visible, explainable, supportable, and accountable without binding the project to any vendor, hosting model, or language. It complements the Core, Data, API, UI, Access Control, Runtime, and Testing foundations by defining how signals are named, emitted, correlated, protected, retained, tested, and reviewed.</w:t>
      </w:r>
    </w:p>
    <w:p>
      <w:pPr>
        <w:pStyle w:val="Heading1"/>
      </w:pPr>
      <w:r>
        <w:t>Why This Foundation Exists</w:t>
      </w:r>
    </w:p>
    <w:p>
      <w:r>
        <w:t>AI Coding Companions often add scattered debug output, miss audit events, leak sensitive data into logs, fail to propagate correlation IDs, or create untestable runtime behavior. This foundation prevents that by requiring every significant signal to be classified, named, contextualized, redacted, documented, and tested.</w:t>
      </w:r>
    </w:p>
    <w:p>
      <w:pPr>
        <w:pStyle w:val="Heading1"/>
      </w:pPr>
      <w:r>
        <w:t>Scope</w:t>
      </w:r>
    </w:p>
    <w:p>
      <w:r>
        <w:t>This foundation applies to logs, audit events, metrics, traces, spans, health checks, diagnostics, error reporting, status surfaces, dashboards, alerts, runbooks, request IDs, correlation IDs, job telemetry, API telemetry, data telemetry, UI-support references, and business telemetry.</w:t>
      </w:r>
    </w:p>
    <w:p>
      <w:pPr>
        <w:pStyle w:val="Heading1"/>
      </w:pPr>
      <w:r>
        <w:t>Core Doctrine</w:t>
      </w:r>
    </w:p>
    <w:p>
      <w:r>
        <w:t>Observability is not business logic. Audit is not logging. Metrics are not logs. Traces are not dashboards. Each signal type has a different purpose and lifecycle. The system must emit enough evidence to diagnose failures and prove accountability while avoiding telemetry noise and data leakage.</w:t>
      </w:r>
    </w:p>
    <w:p>
      <w:pPr>
        <w:pStyle w:val="Heading1"/>
      </w:pPr>
      <w:r>
        <w:t>Foundation Relationship Map</w:t>
      </w:r>
    </w:p>
    <w:tbl>
      <w:tblPr>
        <w:tblStyle w:val="TableGrid"/>
        <w:tblW w:type="auto" w:w="0"/>
        <w:jc w:val="center"/>
        <w:tblLook w:firstColumn="1" w:firstRow="1" w:lastColumn="0" w:lastRow="0" w:noHBand="0" w:noVBand="1" w:val="04A0"/>
      </w:tblPr>
      <w:tblGrid>
        <w:gridCol w:w="5112"/>
        <w:gridCol w:w="5112"/>
      </w:tblGrid>
      <w:tr>
        <w:tc>
          <w:tcPr>
            <w:tcW w:type="dxa" w:w="2160"/>
            <w:vAlign w:val="top"/>
            <w:shd w:fill="D9EAF7"/>
          </w:tcPr>
          <w:p>
            <w:pPr>
              <w:jc w:val="left"/>
            </w:pPr>
            <w:r/>
            <w:r>
              <w:rPr>
                <w:b/>
              </w:rPr>
              <w:t>Foundation</w:t>
            </w:r>
          </w:p>
        </w:tc>
        <w:tc>
          <w:tcPr>
            <w:tcW w:type="dxa" w:w="6912"/>
            <w:vAlign w:val="top"/>
            <w:shd w:fill="D9EAF7"/>
          </w:tcPr>
          <w:p>
            <w:pPr>
              <w:jc w:val="left"/>
            </w:pPr>
            <w:r/>
            <w:r>
              <w:rPr>
                <w:b/>
              </w:rPr>
              <w:t>Observability Responsibility</w:t>
            </w:r>
          </w:p>
        </w:tc>
      </w:tr>
      <w:tr>
        <w:tc>
          <w:tcPr>
            <w:tcW w:type="dxa" w:w="2160"/>
            <w:vAlign w:val="top"/>
          </w:tcPr>
          <w:p>
            <w:pPr>
              <w:jc w:val="left"/>
            </w:pPr>
            <w:r/>
            <w:r>
              <w:rPr>
                <w:b w:val="0"/>
              </w:rPr>
              <w:t>Core / Domain</w:t>
            </w:r>
          </w:p>
        </w:tc>
        <w:tc>
          <w:tcPr>
            <w:tcW w:type="dxa" w:w="6912"/>
            <w:vAlign w:val="top"/>
          </w:tcPr>
          <w:p>
            <w:pPr>
              <w:jc w:val="left"/>
            </w:pPr>
            <w:r/>
            <w:r>
              <w:rPr>
                <w:b w:val="0"/>
              </w:rPr>
              <w:t>Business events, use-case outcomes, workflow transitions, domain errors.</w:t>
            </w:r>
          </w:p>
        </w:tc>
      </w:tr>
      <w:tr>
        <w:tc>
          <w:tcPr>
            <w:tcW w:type="dxa" w:w="2160"/>
            <w:vAlign w:val="top"/>
          </w:tcPr>
          <w:p>
            <w:pPr>
              <w:jc w:val="left"/>
            </w:pPr>
            <w:r/>
            <w:r>
              <w:rPr>
                <w:b w:val="0"/>
              </w:rPr>
              <w:t>Data</w:t>
            </w:r>
          </w:p>
        </w:tc>
        <w:tc>
          <w:tcPr>
            <w:tcW w:type="dxa" w:w="6912"/>
            <w:vAlign w:val="top"/>
          </w:tcPr>
          <w:p>
            <w:pPr>
              <w:jc w:val="left"/>
            </w:pPr>
            <w:r/>
            <w:r>
              <w:rPr>
                <w:b w:val="0"/>
              </w:rPr>
              <w:t>Entity lifecycle, migrations, imports/exports, data quality, schema evolution, retention evidence.</w:t>
            </w:r>
          </w:p>
        </w:tc>
      </w:tr>
      <w:tr>
        <w:tc>
          <w:tcPr>
            <w:tcW w:type="dxa" w:w="2160"/>
            <w:vAlign w:val="top"/>
          </w:tcPr>
          <w:p>
            <w:pPr>
              <w:jc w:val="left"/>
            </w:pPr>
            <w:r/>
            <w:r>
              <w:rPr>
                <w:b w:val="0"/>
              </w:rPr>
              <w:t>API</w:t>
            </w:r>
          </w:p>
        </w:tc>
        <w:tc>
          <w:tcPr>
            <w:tcW w:type="dxa" w:w="6912"/>
            <w:vAlign w:val="top"/>
          </w:tcPr>
          <w:p>
            <w:pPr>
              <w:jc w:val="left"/>
            </w:pPr>
            <w:r/>
            <w:r>
              <w:rPr>
                <w:b w:val="0"/>
              </w:rPr>
              <w:t>Request IDs, correlation IDs, contract validation, endpoint telemetry, webhook/event diagnostics.</w:t>
            </w:r>
          </w:p>
        </w:tc>
      </w:tr>
      <w:tr>
        <w:tc>
          <w:tcPr>
            <w:tcW w:type="dxa" w:w="2160"/>
            <w:vAlign w:val="top"/>
          </w:tcPr>
          <w:p>
            <w:pPr>
              <w:jc w:val="left"/>
            </w:pPr>
            <w:r/>
            <w:r>
              <w:rPr>
                <w:b w:val="0"/>
              </w:rPr>
              <w:t>Access Control</w:t>
            </w:r>
          </w:p>
        </w:tc>
        <w:tc>
          <w:tcPr>
            <w:tcW w:type="dxa" w:w="6912"/>
            <w:vAlign w:val="top"/>
          </w:tcPr>
          <w:p>
            <w:pPr>
              <w:jc w:val="left"/>
            </w:pPr>
            <w:r/>
            <w:r>
              <w:rPr>
                <w:b w:val="0"/>
              </w:rPr>
              <w:t>Audit records for privileged actions, denials, impersonation, permission changes.</w:t>
            </w:r>
          </w:p>
        </w:tc>
      </w:tr>
      <w:tr>
        <w:tc>
          <w:tcPr>
            <w:tcW w:type="dxa" w:w="2160"/>
            <w:vAlign w:val="top"/>
          </w:tcPr>
          <w:p>
            <w:pPr>
              <w:jc w:val="left"/>
            </w:pPr>
            <w:r/>
            <w:r>
              <w:rPr>
                <w:b w:val="0"/>
              </w:rPr>
              <w:t>UI</w:t>
            </w:r>
          </w:p>
        </w:tc>
        <w:tc>
          <w:tcPr>
            <w:tcW w:type="dxa" w:w="6912"/>
            <w:vAlign w:val="top"/>
          </w:tcPr>
          <w:p>
            <w:pPr>
              <w:jc w:val="left"/>
            </w:pPr>
            <w:r/>
            <w:r>
              <w:rPr>
                <w:b w:val="0"/>
              </w:rPr>
              <w:t>Safe user-facing error references, status banners, support IDs, client-side telemetry if applicable.</w:t>
            </w:r>
          </w:p>
        </w:tc>
      </w:tr>
      <w:tr>
        <w:tc>
          <w:tcPr>
            <w:tcW w:type="dxa" w:w="2160"/>
            <w:vAlign w:val="top"/>
          </w:tcPr>
          <w:p>
            <w:pPr>
              <w:jc w:val="left"/>
            </w:pPr>
            <w:r/>
            <w:r>
              <w:rPr>
                <w:b w:val="0"/>
              </w:rPr>
              <w:t>Runtime / Operations</w:t>
            </w:r>
          </w:p>
        </w:tc>
        <w:tc>
          <w:tcPr>
            <w:tcW w:type="dxa" w:w="6912"/>
            <w:vAlign w:val="top"/>
          </w:tcPr>
          <w:p>
            <w:pPr>
              <w:jc w:val="left"/>
            </w:pPr>
            <w:r/>
            <w:r>
              <w:rPr>
                <w:b w:val="0"/>
              </w:rPr>
              <w:t>Jobs, retries, dead letters, schedules, locks, progress, queue/worker telemetry.</w:t>
            </w:r>
          </w:p>
        </w:tc>
      </w:tr>
      <w:tr>
        <w:tc>
          <w:tcPr>
            <w:tcW w:type="dxa" w:w="2160"/>
            <w:vAlign w:val="top"/>
          </w:tcPr>
          <w:p>
            <w:pPr>
              <w:jc w:val="left"/>
            </w:pPr>
            <w:r/>
            <w:r>
              <w:rPr>
                <w:b w:val="0"/>
              </w:rPr>
              <w:t>Testing / Quality</w:t>
            </w:r>
          </w:p>
        </w:tc>
        <w:tc>
          <w:tcPr>
            <w:tcW w:type="dxa" w:w="6912"/>
            <w:vAlign w:val="top"/>
          </w:tcPr>
          <w:p>
            <w:pPr>
              <w:jc w:val="left"/>
            </w:pPr>
            <w:r/>
            <w:r>
              <w:rPr>
                <w:b w:val="0"/>
              </w:rPr>
              <w:t>Verification that signals exist, are safe, and are not leaking sensitive data.</w:t>
            </w:r>
          </w:p>
        </w:tc>
      </w:tr>
    </w:tbl>
    <w:p/>
    <w:p>
      <w:pPr>
        <w:pStyle w:val="Heading1"/>
      </w:pPr>
      <w:r>
        <w:t>Signal Taxonomy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top"/>
            <w:shd w:fill="D9EAF7"/>
          </w:tcPr>
          <w:p>
            <w:pPr>
              <w:jc w:val="left"/>
            </w:pPr>
            <w:r/>
            <w:r>
              <w:rPr>
                <w:b/>
              </w:rPr>
              <w:t>Signal Type</w:t>
            </w:r>
          </w:p>
        </w:tc>
        <w:tc>
          <w:tcPr>
            <w:tcW w:type="dxa" w:w="3168"/>
            <w:vAlign w:val="top"/>
            <w:shd w:fill="D9EAF7"/>
          </w:tcPr>
          <w:p>
            <w:pPr>
              <w:jc w:val="left"/>
            </w:pPr>
            <w:r/>
            <w:r>
              <w:rPr>
                <w:b/>
              </w:rPr>
              <w:t>Purpose</w:t>
            </w:r>
          </w:p>
        </w:tc>
        <w:tc>
          <w:tcPr>
            <w:tcW w:type="dxa" w:w="2232"/>
            <w:vAlign w:val="top"/>
            <w:shd w:fill="D9EAF7"/>
          </w:tcPr>
          <w:p>
            <w:pPr>
              <w:jc w:val="left"/>
            </w:pPr>
            <w:r/>
            <w:r>
              <w:rPr>
                <w:b/>
              </w:rPr>
              <w:t>Primary Consumer</w:t>
            </w:r>
          </w:p>
        </w:tc>
        <w:tc>
          <w:tcPr>
            <w:tcW w:type="dxa" w:w="2304"/>
            <w:vAlign w:val="top"/>
            <w:shd w:fill="D9EAF7"/>
          </w:tcPr>
          <w:p>
            <w:pPr>
              <w:jc w:val="left"/>
            </w:pPr>
            <w:r/>
            <w:r>
              <w:rPr>
                <w:b/>
              </w:rPr>
              <w:t>Notes</w:t>
            </w:r>
          </w:p>
        </w:tc>
      </w:tr>
      <w:tr>
        <w:tc>
          <w:tcPr>
            <w:tcW w:type="dxa" w:w="1944"/>
            <w:vAlign w:val="top"/>
          </w:tcPr>
          <w:p>
            <w:pPr>
              <w:jc w:val="left"/>
            </w:pPr>
            <w:r/>
            <w:r>
              <w:rPr>
                <w:b w:val="0"/>
              </w:rPr>
              <w:t>Structured log</w:t>
            </w:r>
          </w:p>
        </w:tc>
        <w:tc>
          <w:tcPr>
            <w:tcW w:type="dxa" w:w="3168"/>
            <w:vAlign w:val="top"/>
          </w:tcPr>
          <w:p>
            <w:pPr>
              <w:jc w:val="left"/>
            </w:pPr>
            <w:r/>
            <w:r>
              <w:rPr>
                <w:b w:val="0"/>
              </w:rPr>
              <w:t>Explain system behavior</w:t>
            </w:r>
          </w:p>
        </w:tc>
        <w:tc>
          <w:tcPr>
            <w:tcW w:type="dxa" w:w="2232"/>
            <w:vAlign w:val="top"/>
          </w:tcPr>
          <w:p>
            <w:pPr>
              <w:jc w:val="left"/>
            </w:pPr>
            <w:r/>
            <w:r>
              <w:rPr>
                <w:b w:val="0"/>
              </w:rPr>
              <w:t>Developers, support, operators</w:t>
            </w:r>
          </w:p>
        </w:tc>
        <w:tc>
          <w:tcPr>
            <w:tcW w:type="dxa" w:w="2304"/>
            <w:vAlign w:val="top"/>
          </w:tcPr>
          <w:p>
            <w:pPr>
              <w:jc w:val="left"/>
            </w:pPr>
            <w:r/>
            <w:r>
              <w:rPr>
                <w:b w:val="0"/>
              </w:rPr>
              <w:t>Diagnostic, not compliance proof.</w:t>
            </w:r>
          </w:p>
        </w:tc>
      </w:tr>
      <w:tr>
        <w:tc>
          <w:tcPr>
            <w:tcW w:type="dxa" w:w="1944"/>
            <w:vAlign w:val="top"/>
          </w:tcPr>
          <w:p>
            <w:pPr>
              <w:jc w:val="left"/>
            </w:pPr>
            <w:r/>
            <w:r>
              <w:rPr>
                <w:b w:val="0"/>
              </w:rPr>
              <w:t>Audit event</w:t>
            </w:r>
          </w:p>
        </w:tc>
        <w:tc>
          <w:tcPr>
            <w:tcW w:type="dxa" w:w="3168"/>
            <w:vAlign w:val="top"/>
          </w:tcPr>
          <w:p>
            <w:pPr>
              <w:jc w:val="left"/>
            </w:pPr>
            <w:r/>
            <w:r>
              <w:rPr>
                <w:b w:val="0"/>
              </w:rPr>
              <w:t>Prove accountability</w:t>
            </w:r>
          </w:p>
        </w:tc>
        <w:tc>
          <w:tcPr>
            <w:tcW w:type="dxa" w:w="2232"/>
            <w:vAlign w:val="top"/>
          </w:tcPr>
          <w:p>
            <w:pPr>
              <w:jc w:val="left"/>
            </w:pPr>
            <w:r/>
            <w:r>
              <w:rPr>
                <w:b w:val="0"/>
              </w:rPr>
              <w:t>Security, compliance, admins</w:t>
            </w:r>
          </w:p>
        </w:tc>
        <w:tc>
          <w:tcPr>
            <w:tcW w:type="dxa" w:w="2304"/>
            <w:vAlign w:val="top"/>
          </w:tcPr>
          <w:p>
            <w:pPr>
              <w:jc w:val="left"/>
            </w:pPr>
            <w:r/>
            <w:r>
              <w:rPr>
                <w:b w:val="0"/>
              </w:rPr>
              <w:t>Append-only from the application perspective.</w:t>
            </w:r>
          </w:p>
        </w:tc>
      </w:tr>
      <w:tr>
        <w:tc>
          <w:tcPr>
            <w:tcW w:type="dxa" w:w="1944"/>
            <w:vAlign w:val="top"/>
          </w:tcPr>
          <w:p>
            <w:pPr>
              <w:jc w:val="left"/>
            </w:pPr>
            <w:r/>
            <w:r>
              <w:rPr>
                <w:b w:val="0"/>
              </w:rPr>
              <w:t>Metric</w:t>
            </w:r>
          </w:p>
        </w:tc>
        <w:tc>
          <w:tcPr>
            <w:tcW w:type="dxa" w:w="3168"/>
            <w:vAlign w:val="top"/>
          </w:tcPr>
          <w:p>
            <w:pPr>
              <w:jc w:val="left"/>
            </w:pPr>
            <w:r/>
            <w:r>
              <w:rPr>
                <w:b w:val="0"/>
              </w:rPr>
              <w:t>Measure rates, latency, volume, saturation</w:t>
            </w:r>
          </w:p>
        </w:tc>
        <w:tc>
          <w:tcPr>
            <w:tcW w:type="dxa" w:w="2232"/>
            <w:vAlign w:val="top"/>
          </w:tcPr>
          <w:p>
            <w:pPr>
              <w:jc w:val="left"/>
            </w:pPr>
            <w:r/>
            <w:r>
              <w:rPr>
                <w:b w:val="0"/>
              </w:rPr>
              <w:t>Operators, dashboards, alerts</w:t>
            </w:r>
          </w:p>
        </w:tc>
        <w:tc>
          <w:tcPr>
            <w:tcW w:type="dxa" w:w="2304"/>
            <w:vAlign w:val="top"/>
          </w:tcPr>
          <w:p>
            <w:pPr>
              <w:jc w:val="left"/>
            </w:pPr>
            <w:r/>
            <w:r>
              <w:rPr>
                <w:b w:val="0"/>
              </w:rPr>
              <w:t>Must avoid high-cardinality labels.</w:t>
            </w:r>
          </w:p>
        </w:tc>
      </w:tr>
      <w:tr>
        <w:tc>
          <w:tcPr>
            <w:tcW w:type="dxa" w:w="1944"/>
            <w:vAlign w:val="top"/>
          </w:tcPr>
          <w:p>
            <w:pPr>
              <w:jc w:val="left"/>
            </w:pPr>
            <w:r/>
            <w:r>
              <w:rPr>
                <w:b w:val="0"/>
              </w:rPr>
              <w:t>Trace/span</w:t>
            </w:r>
          </w:p>
        </w:tc>
        <w:tc>
          <w:tcPr>
            <w:tcW w:type="dxa" w:w="3168"/>
            <w:vAlign w:val="top"/>
          </w:tcPr>
          <w:p>
            <w:pPr>
              <w:jc w:val="left"/>
            </w:pPr>
            <w:r/>
            <w:r>
              <w:rPr>
                <w:b w:val="0"/>
              </w:rPr>
              <w:t>Show execution path</w:t>
            </w:r>
          </w:p>
        </w:tc>
        <w:tc>
          <w:tcPr>
            <w:tcW w:type="dxa" w:w="2232"/>
            <w:vAlign w:val="top"/>
          </w:tcPr>
          <w:p>
            <w:pPr>
              <w:jc w:val="left"/>
            </w:pPr>
            <w:r/>
            <w:r>
              <w:rPr>
                <w:b w:val="0"/>
              </w:rPr>
              <w:t>Developers, operators</w:t>
            </w:r>
          </w:p>
        </w:tc>
        <w:tc>
          <w:tcPr>
            <w:tcW w:type="dxa" w:w="2304"/>
            <w:vAlign w:val="top"/>
          </w:tcPr>
          <w:p>
            <w:pPr>
              <w:jc w:val="left"/>
            </w:pPr>
            <w:r/>
            <w:r>
              <w:rPr>
                <w:b w:val="0"/>
              </w:rPr>
              <w:t>Optional backend; correlation IDs are minimum.</w:t>
            </w:r>
          </w:p>
        </w:tc>
      </w:tr>
      <w:tr>
        <w:tc>
          <w:tcPr>
            <w:tcW w:type="dxa" w:w="1944"/>
            <w:vAlign w:val="top"/>
          </w:tcPr>
          <w:p>
            <w:pPr>
              <w:jc w:val="left"/>
            </w:pPr>
            <w:r/>
            <w:r>
              <w:rPr>
                <w:b w:val="0"/>
              </w:rPr>
              <w:t>Error event</w:t>
            </w:r>
          </w:p>
        </w:tc>
        <w:tc>
          <w:tcPr>
            <w:tcW w:type="dxa" w:w="3168"/>
            <w:vAlign w:val="top"/>
          </w:tcPr>
          <w:p>
            <w:pPr>
              <w:jc w:val="left"/>
            </w:pPr>
            <w:r/>
            <w:r>
              <w:rPr>
                <w:b w:val="0"/>
              </w:rPr>
              <w:t>Capture failures</w:t>
            </w:r>
          </w:p>
        </w:tc>
        <w:tc>
          <w:tcPr>
            <w:tcW w:type="dxa" w:w="2232"/>
            <w:vAlign w:val="top"/>
          </w:tcPr>
          <w:p>
            <w:pPr>
              <w:jc w:val="left"/>
            </w:pPr>
            <w:r/>
            <w:r>
              <w:rPr>
                <w:b w:val="0"/>
              </w:rPr>
              <w:t>Developers, support</w:t>
            </w:r>
          </w:p>
        </w:tc>
        <w:tc>
          <w:tcPr>
            <w:tcW w:type="dxa" w:w="2304"/>
            <w:vAlign w:val="top"/>
          </w:tcPr>
          <w:p>
            <w:pPr>
              <w:jc w:val="left"/>
            </w:pPr>
            <w:r/>
            <w:r>
              <w:rPr>
                <w:b w:val="0"/>
              </w:rPr>
              <w:t>Must distinguish expected vs unexpected failures.</w:t>
            </w:r>
          </w:p>
        </w:tc>
      </w:tr>
      <w:tr>
        <w:tc>
          <w:tcPr>
            <w:tcW w:type="dxa" w:w="1944"/>
            <w:vAlign w:val="top"/>
          </w:tcPr>
          <w:p>
            <w:pPr>
              <w:jc w:val="left"/>
            </w:pPr>
            <w:r/>
            <w:r>
              <w:rPr>
                <w:b w:val="0"/>
              </w:rPr>
              <w:t>Business event</w:t>
            </w:r>
          </w:p>
        </w:tc>
        <w:tc>
          <w:tcPr>
            <w:tcW w:type="dxa" w:w="3168"/>
            <w:vAlign w:val="top"/>
          </w:tcPr>
          <w:p>
            <w:pPr>
              <w:jc w:val="left"/>
            </w:pPr>
            <w:r/>
            <w:r>
              <w:rPr>
                <w:b w:val="0"/>
              </w:rPr>
              <w:t>Record meaningful business occurrence</w:t>
            </w:r>
          </w:p>
        </w:tc>
        <w:tc>
          <w:tcPr>
            <w:tcW w:type="dxa" w:w="2232"/>
            <w:vAlign w:val="top"/>
          </w:tcPr>
          <w:p>
            <w:pPr>
              <w:jc w:val="left"/>
            </w:pPr>
            <w:r/>
            <w:r>
              <w:rPr>
                <w:b w:val="0"/>
              </w:rPr>
              <w:t>Product, analytics, workflows</w:t>
            </w:r>
          </w:p>
        </w:tc>
        <w:tc>
          <w:tcPr>
            <w:tcW w:type="dxa" w:w="2304"/>
            <w:vAlign w:val="top"/>
          </w:tcPr>
          <w:p>
            <w:pPr>
              <w:jc w:val="left"/>
            </w:pPr>
            <w:r/>
            <w:r>
              <w:rPr>
                <w:b w:val="0"/>
              </w:rPr>
              <w:t>May also feed domain/event systems.</w:t>
            </w:r>
          </w:p>
        </w:tc>
      </w:tr>
      <w:tr>
        <w:tc>
          <w:tcPr>
            <w:tcW w:type="dxa" w:w="1944"/>
            <w:vAlign w:val="top"/>
          </w:tcPr>
          <w:p>
            <w:pPr>
              <w:jc w:val="left"/>
            </w:pPr>
            <w:r/>
            <w:r>
              <w:rPr>
                <w:b w:val="0"/>
              </w:rPr>
              <w:t>Health signal</w:t>
            </w:r>
          </w:p>
        </w:tc>
        <w:tc>
          <w:tcPr>
            <w:tcW w:type="dxa" w:w="3168"/>
            <w:vAlign w:val="top"/>
          </w:tcPr>
          <w:p>
            <w:pPr>
              <w:jc w:val="left"/>
            </w:pPr>
            <w:r/>
            <w:r>
              <w:rPr>
                <w:b w:val="0"/>
              </w:rPr>
              <w:t>Show current availability/readiness</w:t>
            </w:r>
          </w:p>
        </w:tc>
        <w:tc>
          <w:tcPr>
            <w:tcW w:type="dxa" w:w="2232"/>
            <w:vAlign w:val="top"/>
          </w:tcPr>
          <w:p>
            <w:pPr>
              <w:jc w:val="left"/>
            </w:pPr>
            <w:r/>
            <w:r>
              <w:rPr>
                <w:b w:val="0"/>
              </w:rPr>
              <w:t>Runtime, deployment, operators</w:t>
            </w:r>
          </w:p>
        </w:tc>
        <w:tc>
          <w:tcPr>
            <w:tcW w:type="dxa" w:w="2304"/>
            <w:vAlign w:val="top"/>
          </w:tcPr>
          <w:p>
            <w:pPr>
              <w:jc w:val="left"/>
            </w:pPr>
            <w:r/>
            <w:r>
              <w:rPr>
                <w:b w:val="0"/>
              </w:rPr>
              <w:t>Must not leak sensitive details.</w:t>
            </w:r>
          </w:p>
        </w:tc>
      </w:tr>
      <w:tr>
        <w:tc>
          <w:tcPr>
            <w:tcW w:type="dxa" w:w="1944"/>
            <w:vAlign w:val="top"/>
          </w:tcPr>
          <w:p>
            <w:pPr>
              <w:jc w:val="left"/>
            </w:pPr>
            <w:r/>
            <w:r>
              <w:rPr>
                <w:b w:val="0"/>
              </w:rPr>
              <w:t>Diagnostic snapshot</w:t>
            </w:r>
          </w:p>
        </w:tc>
        <w:tc>
          <w:tcPr>
            <w:tcW w:type="dxa" w:w="3168"/>
            <w:vAlign w:val="top"/>
          </w:tcPr>
          <w:p>
            <w:pPr>
              <w:jc w:val="left"/>
            </w:pPr>
            <w:r/>
            <w:r>
              <w:rPr>
                <w:b w:val="0"/>
              </w:rPr>
              <w:t>Support-safe summary of state</w:t>
            </w:r>
          </w:p>
        </w:tc>
        <w:tc>
          <w:tcPr>
            <w:tcW w:type="dxa" w:w="2232"/>
            <w:vAlign w:val="top"/>
          </w:tcPr>
          <w:p>
            <w:pPr>
              <w:jc w:val="left"/>
            </w:pPr>
            <w:r/>
            <w:r>
              <w:rPr>
                <w:b w:val="0"/>
              </w:rPr>
              <w:t>Support/admin/dev</w:t>
            </w:r>
          </w:p>
        </w:tc>
        <w:tc>
          <w:tcPr>
            <w:tcW w:type="dxa" w:w="2304"/>
            <w:vAlign w:val="top"/>
          </w:tcPr>
          <w:p>
            <w:pPr>
              <w:jc w:val="left"/>
            </w:pPr>
            <w:r/>
            <w:r>
              <w:rPr>
                <w:b w:val="0"/>
              </w:rPr>
              <w:t>Generated on demand; access controlled.</w:t>
            </w:r>
          </w:p>
        </w:tc>
      </w:tr>
    </w:tbl>
    <w:p/>
    <w:p>
      <w:pPr>
        <w:pStyle w:val="Heading1"/>
      </w:pPr>
      <w:r>
        <w:t>Minimum Context Standard</w:t>
      </w:r>
    </w:p>
    <w:p>
      <w:r>
        <w:t>Every meaningful backend signal should carry stable context where applicable. The exact fields depend on the adapter, but the model should support event_name, severity, timestamp, environment, service, version, request_id, correlation_id, trace_id/span_id, actor_id, effective_actor_id, tenant/scope, resource, operation, decision, reason, duration, and safe metadata.</w:t>
      </w:r>
    </w:p>
    <w:p>
      <w:pPr>
        <w:pStyle w:val="Heading1"/>
      </w:pPr>
      <w:r>
        <w:t>Signal Naming Standard</w:t>
      </w:r>
    </w:p>
    <w:p>
      <w:r>
        <w:t>Use the format area.resource.action.result. Examples include api.users.create.failed, acl.roles.assign.denied, data.invoice.migration.completed, runtime.email.send.retrying, security.impersonation.started, and audit.user.role_revoked. Signal names must be stable and language-neutral.</w:t>
      </w:r>
    </w:p>
    <w:p>
      <w:pPr>
        <w:pStyle w:val="Heading1"/>
      </w:pPr>
      <w:r>
        <w:t>Logs</w:t>
      </w:r>
    </w:p>
    <w:p>
      <w:pPr>
        <w:pStyle w:val="ListBullet"/>
      </w:pPr>
      <w:r>
        <w:t>Use structured logs when the stack allows it; otherwise use stable key/value style.</w:t>
      </w:r>
    </w:p>
    <w:p>
      <w:pPr>
        <w:pStyle w:val="ListBullet"/>
      </w:pPr>
      <w:r>
        <w:t>Include request and correlation context.</w:t>
      </w:r>
    </w:p>
    <w:p>
      <w:pPr>
        <w:pStyle w:val="ListBullet"/>
      </w:pPr>
      <w:r>
        <w:t>Never log secrets, passwords, API keys, OAuth tokens, session IDs, cookies, authorization headers, or private keys.</w:t>
      </w:r>
    </w:p>
    <w:p>
      <w:pPr>
        <w:pStyle w:val="ListBullet"/>
      </w:pPr>
      <w:r>
        <w:t>Avoid full request/response body dumps in production.</w:t>
      </w:r>
    </w:p>
    <w:p>
      <w:pPr>
        <w:pStyle w:val="ListBullet"/>
      </w:pPr>
      <w:r>
        <w:t>Use event names and error codes instead of free-form debug prose.</w:t>
      </w:r>
    </w:p>
    <w:p>
      <w:pPr>
        <w:pStyle w:val="ListBullet"/>
      </w:pPr>
      <w:r>
        <w:t>Rate-limit or sample high-volume diagnostic signals.</w:t>
      </w:r>
    </w:p>
    <w:p>
      <w:pPr>
        <w:pStyle w:val="Heading1"/>
      </w:pPr>
      <w:r>
        <w:t>Audit Events</w:t>
      </w:r>
    </w:p>
    <w:p>
      <w:r>
        <w:t>Audit events are accountability records and must not be treated as ordinary application logs. They are required for privileged, security-sensitive, billing-sensitive, data-export, impersonation, integration, role/permission, destructive, and compliance-sensitive actions.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pPr>
              <w:jc w:val="left"/>
            </w:pPr>
            <w:r/>
            <w:r>
              <w:rPr>
                <w:b/>
              </w:rPr>
              <w:t>Audit Area</w:t>
            </w:r>
          </w:p>
        </w:tc>
        <w:tc>
          <w:tcPr>
            <w:tcW w:type="dxa" w:w="6912"/>
            <w:vAlign w:val="top"/>
            <w:shd w:fill="D9EAF7"/>
          </w:tcPr>
          <w:p>
            <w:pPr>
              <w:jc w:val="left"/>
            </w:pPr>
            <w:r/>
            <w:r>
              <w:rPr>
                <w:b/>
              </w:rPr>
              <w:t>Examples</w:t>
            </w:r>
          </w:p>
        </w:tc>
      </w:tr>
      <w:tr>
        <w:tc>
          <w:tcPr>
            <w:tcW w:type="dxa" w:w="2304"/>
            <w:vAlign w:val="top"/>
          </w:tcPr>
          <w:p>
            <w:pPr>
              <w:jc w:val="left"/>
            </w:pPr>
            <w:r/>
            <w:r>
              <w:rPr>
                <w:b w:val="0"/>
              </w:rPr>
              <w:t>Identity</w:t>
            </w:r>
          </w:p>
        </w:tc>
        <w:tc>
          <w:tcPr>
            <w:tcW w:type="dxa" w:w="6912"/>
            <w:vAlign w:val="top"/>
          </w:tcPr>
          <w:p>
            <w:pPr>
              <w:jc w:val="left"/>
            </w:pPr>
            <w:r/>
            <w:r>
              <w:rPr>
                <w:b w:val="0"/>
              </w:rPr>
              <w:t>login success/failure, logout, MFA changes, password changes</w:t>
            </w:r>
          </w:p>
        </w:tc>
      </w:tr>
      <w:tr>
        <w:tc>
          <w:tcPr>
            <w:tcW w:type="dxa" w:w="2304"/>
            <w:vAlign w:val="top"/>
          </w:tcPr>
          <w:p>
            <w:pPr>
              <w:jc w:val="left"/>
            </w:pPr>
            <w:r/>
            <w:r>
              <w:rPr>
                <w:b w:val="0"/>
              </w:rPr>
              <w:t>Authorization</w:t>
            </w:r>
          </w:p>
        </w:tc>
        <w:tc>
          <w:tcPr>
            <w:tcW w:type="dxa" w:w="6912"/>
            <w:vAlign w:val="top"/>
          </w:tcPr>
          <w:p>
            <w:pPr>
              <w:jc w:val="left"/>
            </w:pPr>
            <w:r/>
            <w:r>
              <w:rPr>
                <w:b w:val="0"/>
              </w:rPr>
              <w:t>role assignment/revocation, permission/policy changes, privileged denials</w:t>
            </w:r>
          </w:p>
        </w:tc>
      </w:tr>
      <w:tr>
        <w:tc>
          <w:tcPr>
            <w:tcW w:type="dxa" w:w="2304"/>
            <w:vAlign w:val="top"/>
          </w:tcPr>
          <w:p>
            <w:pPr>
              <w:jc w:val="left"/>
            </w:pPr>
            <w:r/>
            <w:r>
              <w:rPr>
                <w:b w:val="0"/>
              </w:rPr>
              <w:t>Delegation</w:t>
            </w:r>
          </w:p>
        </w:tc>
        <w:tc>
          <w:tcPr>
            <w:tcW w:type="dxa" w:w="6912"/>
            <w:vAlign w:val="top"/>
          </w:tcPr>
          <w:p>
            <w:pPr>
              <w:jc w:val="left"/>
            </w:pPr>
            <w:r/>
            <w:r>
              <w:rPr>
                <w:b w:val="0"/>
              </w:rPr>
              <w:t>impersonation start/end, support access, break-glass access</w:t>
            </w:r>
          </w:p>
        </w:tc>
      </w:tr>
      <w:tr>
        <w:tc>
          <w:tcPr>
            <w:tcW w:type="dxa" w:w="2304"/>
            <w:vAlign w:val="top"/>
          </w:tcPr>
          <w:p>
            <w:pPr>
              <w:jc w:val="left"/>
            </w:pPr>
            <w:r/>
            <w:r>
              <w:rPr>
                <w:b w:val="0"/>
              </w:rPr>
              <w:t>Data</w:t>
            </w:r>
          </w:p>
        </w:tc>
        <w:tc>
          <w:tcPr>
            <w:tcW w:type="dxa" w:w="6912"/>
            <w:vAlign w:val="top"/>
          </w:tcPr>
          <w:p>
            <w:pPr>
              <w:jc w:val="left"/>
            </w:pPr>
            <w:r/>
            <w:r>
              <w:rPr>
                <w:b w:val="0"/>
              </w:rPr>
              <w:t>sensitive export/download, deletion/anonymization, retention hold</w:t>
            </w:r>
          </w:p>
        </w:tc>
      </w:tr>
      <w:tr>
        <w:tc>
          <w:tcPr>
            <w:tcW w:type="dxa" w:w="2304"/>
            <w:vAlign w:val="top"/>
          </w:tcPr>
          <w:p>
            <w:pPr>
              <w:jc w:val="left"/>
            </w:pPr>
            <w:r/>
            <w:r>
              <w:rPr>
                <w:b w:val="0"/>
              </w:rPr>
              <w:t>Administration</w:t>
            </w:r>
          </w:p>
        </w:tc>
        <w:tc>
          <w:tcPr>
            <w:tcW w:type="dxa" w:w="6912"/>
            <w:vAlign w:val="top"/>
          </w:tcPr>
          <w:p>
            <w:pPr>
              <w:jc w:val="left"/>
            </w:pPr>
            <w:r/>
            <w:r>
              <w:rPr>
                <w:b w:val="0"/>
              </w:rPr>
              <w:t>tenant/account changes, billing changes, integration/API-token changes</w:t>
            </w:r>
          </w:p>
        </w:tc>
      </w:tr>
    </w:tbl>
    <w:p/>
    <w:p>
      <w:pPr>
        <w:pStyle w:val="Heading1"/>
      </w:pPr>
      <w:r>
        <w:t>Metrics</w:t>
      </w:r>
    </w:p>
    <w:p>
      <w:r>
        <w:t>Metrics should be unit-aware, low-cardinality, and useful for dashboards or alerts. Avoid user IDs, emails, tenant names, arbitrary URLs, and resource IDs as labels.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pPr>
              <w:jc w:val="left"/>
            </w:pPr>
            <w:r/>
            <w:r>
              <w:rPr>
                <w:b/>
              </w:rPr>
              <w:t>Category</w:t>
            </w:r>
          </w:p>
        </w:tc>
        <w:tc>
          <w:tcPr>
            <w:tcW w:type="dxa" w:w="6912"/>
            <w:vAlign w:val="top"/>
            <w:shd w:fill="D9EAF7"/>
          </w:tcPr>
          <w:p>
            <w:pPr>
              <w:jc w:val="left"/>
            </w:pPr>
            <w:r/>
            <w:r>
              <w:rPr>
                <w:b/>
              </w:rPr>
              <w:t>Examples</w:t>
            </w:r>
          </w:p>
        </w:tc>
      </w:tr>
      <w:tr>
        <w:tc>
          <w:tcPr>
            <w:tcW w:type="dxa" w:w="2304"/>
            <w:vAlign w:val="top"/>
          </w:tcPr>
          <w:p>
            <w:pPr>
              <w:jc w:val="left"/>
            </w:pPr>
            <w:r/>
            <w:r>
              <w:rPr>
                <w:b w:val="0"/>
              </w:rPr>
              <w:t>Traffic</w:t>
            </w:r>
          </w:p>
        </w:tc>
        <w:tc>
          <w:tcPr>
            <w:tcW w:type="dxa" w:w="6912"/>
            <w:vAlign w:val="top"/>
          </w:tcPr>
          <w:p>
            <w:pPr>
              <w:jc w:val="left"/>
            </w:pPr>
            <w:r/>
            <w:r>
              <w:rPr>
                <w:b w:val="0"/>
              </w:rPr>
              <w:t>request count, webhook count, event count</w:t>
            </w:r>
          </w:p>
        </w:tc>
      </w:tr>
      <w:tr>
        <w:tc>
          <w:tcPr>
            <w:tcW w:type="dxa" w:w="2304"/>
            <w:vAlign w:val="top"/>
          </w:tcPr>
          <w:p>
            <w:pPr>
              <w:jc w:val="left"/>
            </w:pPr>
            <w:r/>
            <w:r>
              <w:rPr>
                <w:b w:val="0"/>
              </w:rPr>
              <w:t>Latency</w:t>
            </w:r>
          </w:p>
        </w:tc>
        <w:tc>
          <w:tcPr>
            <w:tcW w:type="dxa" w:w="6912"/>
            <w:vAlign w:val="top"/>
          </w:tcPr>
          <w:p>
            <w:pPr>
              <w:jc w:val="left"/>
            </w:pPr>
            <w:r/>
            <w:r>
              <w:rPr>
                <w:b w:val="0"/>
              </w:rPr>
              <w:t>request duration, job duration, query duration</w:t>
            </w:r>
          </w:p>
        </w:tc>
      </w:tr>
      <w:tr>
        <w:tc>
          <w:tcPr>
            <w:tcW w:type="dxa" w:w="2304"/>
            <w:vAlign w:val="top"/>
          </w:tcPr>
          <w:p>
            <w:pPr>
              <w:jc w:val="left"/>
            </w:pPr>
            <w:r/>
            <w:r>
              <w:rPr>
                <w:b w:val="0"/>
              </w:rPr>
              <w:t>Errors</w:t>
            </w:r>
          </w:p>
        </w:tc>
        <w:tc>
          <w:tcPr>
            <w:tcW w:type="dxa" w:w="6912"/>
            <w:vAlign w:val="top"/>
          </w:tcPr>
          <w:p>
            <w:pPr>
              <w:jc w:val="left"/>
            </w:pPr>
            <w:r/>
            <w:r>
              <w:rPr>
                <w:b w:val="0"/>
              </w:rPr>
              <w:t>5xx count, failed jobs, failed events</w:t>
            </w:r>
          </w:p>
        </w:tc>
      </w:tr>
      <w:tr>
        <w:tc>
          <w:tcPr>
            <w:tcW w:type="dxa" w:w="2304"/>
            <w:vAlign w:val="top"/>
          </w:tcPr>
          <w:p>
            <w:pPr>
              <w:jc w:val="left"/>
            </w:pPr>
            <w:r/>
            <w:r>
              <w:rPr>
                <w:b w:val="0"/>
              </w:rPr>
              <w:t>Saturation</w:t>
            </w:r>
          </w:p>
        </w:tc>
        <w:tc>
          <w:tcPr>
            <w:tcW w:type="dxa" w:w="6912"/>
            <w:vAlign w:val="top"/>
          </w:tcPr>
          <w:p>
            <w:pPr>
              <w:jc w:val="left"/>
            </w:pPr>
            <w:r/>
            <w:r>
              <w:rPr>
                <w:b w:val="0"/>
              </w:rPr>
              <w:t>queue depth, worker concurrency, storage usage</w:t>
            </w:r>
          </w:p>
        </w:tc>
      </w:tr>
      <w:tr>
        <w:tc>
          <w:tcPr>
            <w:tcW w:type="dxa" w:w="2304"/>
            <w:vAlign w:val="top"/>
          </w:tcPr>
          <w:p>
            <w:pPr>
              <w:jc w:val="left"/>
            </w:pPr>
            <w:r/>
            <w:r>
              <w:rPr>
                <w:b w:val="0"/>
              </w:rPr>
              <w:t>Security</w:t>
            </w:r>
          </w:p>
        </w:tc>
        <w:tc>
          <w:tcPr>
            <w:tcW w:type="dxa" w:w="6912"/>
            <w:vAlign w:val="top"/>
          </w:tcPr>
          <w:p>
            <w:pPr>
              <w:jc w:val="left"/>
            </w:pPr>
            <w:r/>
            <w:r>
              <w:rPr>
                <w:b w:val="0"/>
              </w:rPr>
              <w:t>privileged denials, token revocations, impersonation count</w:t>
            </w:r>
          </w:p>
        </w:tc>
      </w:tr>
      <w:tr>
        <w:tc>
          <w:tcPr>
            <w:tcW w:type="dxa" w:w="2304"/>
            <w:vAlign w:val="top"/>
          </w:tcPr>
          <w:p>
            <w:pPr>
              <w:jc w:val="left"/>
            </w:pPr>
            <w:r/>
            <w:r>
              <w:rPr>
                <w:b w:val="0"/>
              </w:rPr>
              <w:t>Business</w:t>
            </w:r>
          </w:p>
        </w:tc>
        <w:tc>
          <w:tcPr>
            <w:tcW w:type="dxa" w:w="6912"/>
            <w:vAlign w:val="top"/>
          </w:tcPr>
          <w:p>
            <w:pPr>
              <w:jc w:val="left"/>
            </w:pPr>
            <w:r/>
            <w:r>
              <w:rPr>
                <w:b w:val="0"/>
              </w:rPr>
              <w:t>signups, approvals, imports, exports, publications</w:t>
            </w:r>
          </w:p>
        </w:tc>
      </w:tr>
    </w:tbl>
    <w:p/>
    <w:p>
      <w:pPr>
        <w:pStyle w:val="Heading1"/>
      </w:pPr>
      <w:r>
        <w:t>Traces and Correlation</w:t>
      </w:r>
    </w:p>
    <w:p>
      <w:r>
        <w:t>Full distributed tracing is optional for small projects, but correlation IDs are not optional for serious applications. Correlation must propagate across HTTP, API, job, queue, webhook, event, and worker boundaries where possible.</w:t>
      </w:r>
    </w:p>
    <w:p>
      <w:pPr>
        <w:pStyle w:val="Heading1"/>
      </w:pPr>
      <w:r>
        <w:t>Privacy and Safety</w:t>
      </w:r>
    </w:p>
    <w:p>
      <w:r>
        <w:t>Observability must never become a data leak. Redact before writing the signal whenever possible. Do not rely only on downstream scrubbers. Maintain a sensitive-field list and test that sensitive data is not emitted.</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D9EAF7"/>
          </w:tcPr>
          <w:p>
            <w:pPr>
              <w:jc w:val="left"/>
            </w:pPr>
            <w:r/>
            <w:r>
              <w:rPr>
                <w:b/>
              </w:rPr>
              <w:t>Data Class</w:t>
            </w:r>
          </w:p>
        </w:tc>
        <w:tc>
          <w:tcPr>
            <w:tcW w:type="dxa" w:w="6768"/>
            <w:vAlign w:val="top"/>
            <w:shd w:fill="D9EAF7"/>
          </w:tcPr>
          <w:p>
            <w:pPr>
              <w:jc w:val="left"/>
            </w:pPr>
            <w:r/>
            <w:r>
              <w:rPr>
                <w:b/>
              </w:rPr>
              <w:t>Policy</w:t>
            </w:r>
          </w:p>
        </w:tc>
      </w:tr>
      <w:tr>
        <w:tc>
          <w:tcPr>
            <w:tcW w:type="dxa" w:w="2448"/>
            <w:vAlign w:val="top"/>
          </w:tcPr>
          <w:p>
            <w:pPr>
              <w:jc w:val="left"/>
            </w:pPr>
            <w:r/>
            <w:r>
              <w:rPr>
                <w:b w:val="0"/>
              </w:rPr>
              <w:t>Secrets/tokens</w:t>
            </w:r>
          </w:p>
        </w:tc>
        <w:tc>
          <w:tcPr>
            <w:tcW w:type="dxa" w:w="6768"/>
            <w:vAlign w:val="top"/>
          </w:tcPr>
          <w:p>
            <w:pPr>
              <w:jc w:val="left"/>
            </w:pPr>
            <w:r/>
            <w:r>
              <w:rPr>
                <w:b w:val="0"/>
              </w:rPr>
              <w:t>Never log. Omit or redact at the source.</w:t>
            </w:r>
          </w:p>
        </w:tc>
      </w:tr>
      <w:tr>
        <w:tc>
          <w:tcPr>
            <w:tcW w:type="dxa" w:w="2448"/>
            <w:vAlign w:val="top"/>
          </w:tcPr>
          <w:p>
            <w:pPr>
              <w:jc w:val="left"/>
            </w:pPr>
            <w:r/>
            <w:r>
              <w:rPr>
                <w:b w:val="0"/>
              </w:rPr>
              <w:t>PII</w:t>
            </w:r>
          </w:p>
        </w:tc>
        <w:tc>
          <w:tcPr>
            <w:tcW w:type="dxa" w:w="6768"/>
            <w:vAlign w:val="top"/>
          </w:tcPr>
          <w:p>
            <w:pPr>
              <w:jc w:val="left"/>
            </w:pPr>
            <w:r/>
            <w:r>
              <w:rPr>
                <w:b w:val="0"/>
              </w:rPr>
              <w:t>Mask, hash, or omit unless explicit policy allows otherwise.</w:t>
            </w:r>
          </w:p>
        </w:tc>
      </w:tr>
      <w:tr>
        <w:tc>
          <w:tcPr>
            <w:tcW w:type="dxa" w:w="2448"/>
            <w:vAlign w:val="top"/>
          </w:tcPr>
          <w:p>
            <w:pPr>
              <w:jc w:val="left"/>
            </w:pPr>
            <w:r/>
            <w:r>
              <w:rPr>
                <w:b w:val="0"/>
              </w:rPr>
              <w:t>Tenant/private data</w:t>
            </w:r>
          </w:p>
        </w:tc>
        <w:tc>
          <w:tcPr>
            <w:tcW w:type="dxa" w:w="6768"/>
            <w:vAlign w:val="top"/>
          </w:tcPr>
          <w:p>
            <w:pPr>
              <w:jc w:val="left"/>
            </w:pPr>
            <w:r/>
            <w:r>
              <w:rPr>
                <w:b w:val="0"/>
              </w:rPr>
              <w:t>Reference resources by ID; do not log raw content.</w:t>
            </w:r>
          </w:p>
        </w:tc>
      </w:tr>
      <w:tr>
        <w:tc>
          <w:tcPr>
            <w:tcW w:type="dxa" w:w="2448"/>
            <w:vAlign w:val="top"/>
          </w:tcPr>
          <w:p>
            <w:pPr>
              <w:jc w:val="left"/>
            </w:pPr>
            <w:r/>
            <w:r>
              <w:rPr>
                <w:b w:val="0"/>
              </w:rPr>
              <w:t>Financial/regulated data</w:t>
            </w:r>
          </w:p>
        </w:tc>
        <w:tc>
          <w:tcPr>
            <w:tcW w:type="dxa" w:w="6768"/>
            <w:vAlign w:val="top"/>
          </w:tcPr>
          <w:p>
            <w:pPr>
              <w:jc w:val="left"/>
            </w:pPr>
            <w:r/>
            <w:r>
              <w:rPr>
                <w:b w:val="0"/>
              </w:rPr>
              <w:t>Use metadata only unless compliance policy explicitly allows more.</w:t>
            </w:r>
          </w:p>
        </w:tc>
      </w:tr>
      <w:tr>
        <w:tc>
          <w:tcPr>
            <w:tcW w:type="dxa" w:w="2448"/>
            <w:vAlign w:val="top"/>
          </w:tcPr>
          <w:p>
            <w:pPr>
              <w:jc w:val="left"/>
            </w:pPr>
            <w:r/>
            <w:r>
              <w:rPr>
                <w:b w:val="0"/>
              </w:rPr>
              <w:t>Uploaded files</w:t>
            </w:r>
          </w:p>
        </w:tc>
        <w:tc>
          <w:tcPr>
            <w:tcW w:type="dxa" w:w="6768"/>
            <w:vAlign w:val="top"/>
          </w:tcPr>
          <w:p>
            <w:pPr>
              <w:jc w:val="left"/>
            </w:pPr>
            <w:r/>
            <w:r>
              <w:rPr>
                <w:b w:val="0"/>
              </w:rPr>
              <w:t>Log metadata only; never raw content.</w:t>
            </w:r>
          </w:p>
        </w:tc>
      </w:tr>
    </w:tbl>
    <w:p/>
    <w:p>
      <w:pPr>
        <w:pStyle w:val="Heading1"/>
      </w:pPr>
      <w:r>
        <w:t>Health, Status, and Diagnostics</w:t>
      </w:r>
    </w:p>
    <w:p>
      <w:r>
        <w:t>Health and diagnostic surfaces must be tailored to the deployment profile. Public status should expose only minimal safe information. Detailed diagnostics belong behind admin, internal, or development-only access controls.</w:t>
      </w:r>
    </w:p>
    <w:p>
      <w:pPr>
        <w:pStyle w:val="Heading1"/>
      </w:pPr>
      <w:r>
        <w:t>Dashboards, Alerts, and Runbooks</w:t>
      </w:r>
    </w:p>
    <w:p>
      <w:r>
        <w:t>A production alert is incomplete unless it has a signal source, threshold, severity, owner, expected action, runbook or recovery path, and escalation guidance where applicable.</w:t>
      </w:r>
    </w:p>
    <w:p>
      <w:pPr>
        <w:pStyle w:val="Heading1"/>
      </w:pPr>
      <w:r>
        <w:t>New Project Procedure</w:t>
      </w:r>
    </w:p>
    <w:p>
      <w:pPr>
        <w:pStyle w:val="ListBullet"/>
      </w:pPr>
      <w:r>
        <w:t>Create the observability reference and adapter under /docs/specs/.</w:t>
      </w:r>
    </w:p>
    <w:p>
      <w:pPr>
        <w:pStyle w:val="ListBullet"/>
      </w:pPr>
      <w:r>
        <w:t>Define request ID and correlation ID handling.</w:t>
      </w:r>
    </w:p>
    <w:p>
      <w:pPr>
        <w:pStyle w:val="ListBullet"/>
      </w:pPr>
      <w:r>
        <w:t>Define structured logging or a minimal equivalent.</w:t>
      </w:r>
    </w:p>
    <w:p>
      <w:pPr>
        <w:pStyle w:val="ListBullet"/>
      </w:pPr>
      <w:r>
        <w:t>Define audit storage if users, ACL, admin actions, billing, files, or integrations exist.</w:t>
      </w:r>
    </w:p>
    <w:p>
      <w:pPr>
        <w:pStyle w:val="ListBullet"/>
      </w:pPr>
      <w:r>
        <w:t>Define health/status behavior.</w:t>
      </w:r>
    </w:p>
    <w:p>
      <w:pPr>
        <w:pStyle w:val="ListBullet"/>
      </w:pPr>
      <w:r>
        <w:t>Update inventories and add sensitive-data exclusion tests.</w:t>
      </w:r>
    </w:p>
    <w:p>
      <w:pPr>
        <w:pStyle w:val="Heading1"/>
      </w:pPr>
      <w:r>
        <w:t>Existing Project Refactoring Procedure</w:t>
      </w:r>
    </w:p>
    <w:p>
      <w:pPr>
        <w:pStyle w:val="ListBullet"/>
      </w:pPr>
      <w:r>
        <w:t>Inventory current logs, audit tables, metrics, traces, dashboards, alerts, health endpoints, and error handling.</w:t>
      </w:r>
    </w:p>
    <w:p>
      <w:pPr>
        <w:pStyle w:val="ListBullet"/>
      </w:pPr>
      <w:r>
        <w:t>Fix sensitive data leaks first.</w:t>
      </w:r>
    </w:p>
    <w:p>
      <w:pPr>
        <w:pStyle w:val="ListBullet"/>
      </w:pPr>
      <w:r>
        <w:t>Add correlation context without breaking existing support/compliance reports.</w:t>
      </w:r>
    </w:p>
    <w:p>
      <w:pPr>
        <w:pStyle w:val="ListBullet"/>
      </w:pPr>
      <w:r>
        <w:t>Wrap existing logging/audit systems before replacing them.</w:t>
      </w:r>
    </w:p>
    <w:p>
      <w:pPr>
        <w:pStyle w:val="ListBullet"/>
      </w:pPr>
      <w:r>
        <w:t>Migrate ad hoc logs into structured signal contracts gradually.</w:t>
      </w:r>
    </w:p>
    <w:p>
      <w:pPr>
        <w:pStyle w:val="ListBullet"/>
      </w:pPr>
      <w:r>
        <w:t>Add tests around high-risk signals and privacy controls.</w:t>
      </w:r>
    </w:p>
    <w:p>
      <w:pPr>
        <w:pStyle w:val="Heading1"/>
      </w:pPr>
      <w:r>
        <w:t>Minimum Acceptable MVP</w:t>
      </w:r>
    </w:p>
    <w:p>
      <w:pPr>
        <w:pStyle w:val="ListBullet"/>
      </w:pPr>
      <w:r>
        <w:t>Structured or consistently formatted logs.</w:t>
      </w:r>
    </w:p>
    <w:p>
      <w:pPr>
        <w:pStyle w:val="ListBullet"/>
      </w:pPr>
      <w:r>
        <w:t>Request ID and correlation ID strategy.</w:t>
      </w:r>
    </w:p>
    <w:p>
      <w:pPr>
        <w:pStyle w:val="ListBullet"/>
      </w:pPr>
      <w:r>
        <w:t>Safe error reporting with diagnostic references.</w:t>
      </w:r>
    </w:p>
    <w:p>
      <w:pPr>
        <w:pStyle w:val="ListBullet"/>
      </w:pPr>
      <w:r>
        <w:t>Audit events for privileged/security-sensitive actions where those features exist.</w:t>
      </w:r>
    </w:p>
    <w:p>
      <w:pPr>
        <w:pStyle w:val="ListBullet"/>
      </w:pPr>
      <w:r>
        <w:t>Basic health/status behavior appropriate to deployment profile.</w:t>
      </w:r>
    </w:p>
    <w:p>
      <w:pPr>
        <w:pStyle w:val="ListBullet"/>
      </w:pPr>
      <w:r>
        <w:t>Runtime/job failure signals if background work exists.</w:t>
      </w:r>
    </w:p>
    <w:p>
      <w:pPr>
        <w:pStyle w:val="ListBullet"/>
      </w:pPr>
      <w:r>
        <w:t>Tests or smoke checks proving critical signals exist and sensitive data is not emitted.</w:t>
      </w:r>
    </w:p>
    <w:p>
      <w:pPr>
        <w:pStyle w:val="ListBullet"/>
      </w:pPr>
      <w:r>
        <w:t>Observability adapter documentation and signal inventories.</w:t>
      </w:r>
    </w:p>
    <w:p>
      <w:pPr>
        <w:pStyle w:val="Heading1"/>
      </w:pPr>
      <w:r>
        <w:t>AI Coding Agent Enforcement</w:t>
      </w:r>
    </w:p>
    <w:p>
      <w:r>
        <w:t>AI Coding Agents must classify signals before implementation, reuse existing signal names and telemetry patterns, propagate correlation context, protect sensitive data, update inventories, and report deferred operational risks. Agents must not add casual debug output in production paths or treat logs as substitutes for audit events.</w:t>
      </w:r>
    </w:p>
    <w:p>
      <w:pPr>
        <w:pStyle w:val="Heading1"/>
      </w:pPr>
      <w:r>
        <w:t>Review Checklist</w:t>
      </w:r>
    </w:p>
    <w:p>
      <w:pPr>
        <w:pStyle w:val="ListBullet"/>
      </w:pPr>
      <w:r>
        <w:t>Signal type and name are documented.</w:t>
      </w:r>
    </w:p>
    <w:p>
      <w:pPr>
        <w:pStyle w:val="ListBullet"/>
      </w:pPr>
      <w:r>
        <w:t>Request/correlation context exists where applicable.</w:t>
      </w:r>
    </w:p>
    <w:p>
      <w:pPr>
        <w:pStyle w:val="ListBullet"/>
      </w:pPr>
      <w:r>
        <w:t>Actor, tenant/scope, resource, and operation context exist where applicable.</w:t>
      </w:r>
    </w:p>
    <w:p>
      <w:pPr>
        <w:pStyle w:val="ListBullet"/>
      </w:pPr>
      <w:r>
        <w:t>No secrets, tokens, raw cookies, auth headers, or private payloads are emitted.</w:t>
      </w:r>
    </w:p>
    <w:p>
      <w:pPr>
        <w:pStyle w:val="ListBullet"/>
      </w:pPr>
      <w:r>
        <w:t>Audit events are append-only from the application perspective.</w:t>
      </w:r>
    </w:p>
    <w:p>
      <w:pPr>
        <w:pStyle w:val="ListBullet"/>
      </w:pPr>
      <w:r>
        <w:t>Metrics avoid high-cardinality labels.</w:t>
      </w:r>
    </w:p>
    <w:p>
      <w:pPr>
        <w:pStyle w:val="ListBullet"/>
      </w:pPr>
      <w:r>
        <w:t>Runtime retries/dead letters are observable.</w:t>
      </w:r>
    </w:p>
    <w:p>
      <w:pPr>
        <w:pStyle w:val="ListBullet"/>
      </w:pPr>
      <w:r>
        <w:t>Health/status/diagnostic surfaces are access controlled and safe.</w:t>
      </w:r>
    </w:p>
    <w:p>
      <w:pPr>
        <w:pStyle w:val="ListBullet"/>
      </w:pPr>
      <w:r>
        <w:t>Dashboards and alerts use documented signals and have recovery paths.</w:t>
      </w:r>
    </w:p>
    <w:p>
      <w:pPr>
        <w:pStyle w:val="ListBullet"/>
      </w:pPr>
      <w:r>
        <w:t>Tests verify signal emission and sensitive-data exclusion.</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Observability / Audit / Telemetry Foundation Manual — Version 1.0-Universal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