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UNIVERSAL TESTING / QUALITY FOUNDATION</w:t>
      </w:r>
    </w:p>
    <w:p>
      <w:pPr>
        <w:jc w:val="center"/>
      </w:pPr>
      <w:r>
        <w:rPr>
          <w:b/>
          <w:sz w:val="26"/>
        </w:rPr>
        <w:t>Human + AI Implementation Manual</w:t>
      </w:r>
    </w:p>
    <w:p>
      <w:pPr>
        <w:jc w:val="center"/>
      </w:pPr>
      <w:r>
        <w:t>Version 1.0-Universal | New and Existing Projects | Stack-Agnostic Quality Doctrine</w:t>
      </w:r>
    </w:p>
    <w:p>
      <w:r>
        <w:rPr>
          <w:b/>
        </w:rPr>
        <w:t xml:space="preserve">Document Type: </w:t>
      </w:r>
      <w:r>
        <w:t>Architecture Foundation Manual</w:t>
      </w:r>
    </w:p>
    <w:p>
      <w:r>
        <w:rPr>
          <w:b/>
        </w:rPr>
        <w:t xml:space="preserve">Scope: </w:t>
      </w:r>
      <w:r>
        <w:t>Testing, quality gates, smoke checks, regression protection, QA governance, AI-agent validation behavior</w:t>
      </w:r>
    </w:p>
    <w:p>
      <w:r>
        <w:rPr>
          <w:b/>
        </w:rPr>
        <w:t xml:space="preserve">Primary Audience: </w:t>
      </w:r>
      <w:r>
        <w:t>Human architects, AI Coding Companions, project managers, reviewers, QA owners</w:t>
      </w:r>
    </w:p>
    <w:p>
      <w:r>
        <w:rPr>
          <w:b/>
        </w:rPr>
        <w:t xml:space="preserve">Repository Reference: </w:t>
      </w:r>
      <w:r>
        <w:t>/docs/specs/testing-foundation-reference.md</w:t>
      </w:r>
    </w:p>
    <w:p>
      <w:pPr>
        <w:pStyle w:val="Heading1"/>
      </w:pPr>
      <w:r>
        <w:t>1. Executive Summary</w:t>
      </w:r>
    </w:p>
    <w:p>
      <w:r>
        <w:t>The Testing / Quality Foundation is the enforcement layer for the application-construction model. It exists because an application can have clean UI, a thoughtful data model, a contract-first API, centralized access control, a strong domain layer, and disciplined runtime operations, yet still be unsafe to evolve if behavior is not verified. This foundation defines how new and existing applications must prove correctness, preserve behavior, expose risk, and remain reviewable by a human architect.</w:t>
      </w:r>
    </w:p>
    <w:p>
      <w:r>
        <w:t>The model is intentionally stack-agnostic. It does not force PHPUnit, pytest, Playwright, Cypress, Go test, JUnit, Selenium, or any specific CI service. Instead, it defines the quality contract and requires each repository to map that contract into its own testing adapter.</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Problem</w:t>
            </w:r>
          </w:p>
        </w:tc>
        <w:tc>
          <w:tcPr>
            <w:tcW w:type="dxa" w:w="5040"/>
            <w:shd w:fill="D9EAF7"/>
            <w:vAlign w:val="center"/>
          </w:tcPr>
          <w:p>
            <w:r/>
            <w:r>
              <w:rPr>
                <w:b/>
                <w:sz w:val="18"/>
              </w:rPr>
              <w:t>Foundation response</w:t>
            </w:r>
          </w:p>
        </w:tc>
      </w:tr>
      <w:tr>
        <w:tc>
          <w:tcPr>
            <w:tcW w:type="dxa" w:w="5040"/>
            <w:vAlign w:val="top"/>
          </w:tcPr>
          <w:p>
            <w:r/>
            <w:r>
              <w:rPr>
                <w:b w:val="0"/>
                <w:sz w:val="18"/>
              </w:rPr>
              <w:t>AI agents produce plausible code without proof</w:t>
            </w:r>
          </w:p>
        </w:tc>
        <w:tc>
          <w:tcPr>
            <w:tcW w:type="dxa" w:w="5040"/>
            <w:vAlign w:val="top"/>
          </w:tcPr>
          <w:p>
            <w:r/>
            <w:r>
              <w:rPr>
                <w:b w:val="0"/>
                <w:sz w:val="18"/>
              </w:rPr>
              <w:t>Require validation reports, tests run, smoke paths, and deferred-risk disclosure.</w:t>
            </w:r>
          </w:p>
        </w:tc>
      </w:tr>
      <w:tr>
        <w:tc>
          <w:tcPr>
            <w:tcW w:type="dxa" w:w="5040"/>
            <w:vAlign w:val="top"/>
          </w:tcPr>
          <w:p>
            <w:r/>
            <w:r>
              <w:rPr>
                <w:b w:val="0"/>
                <w:sz w:val="18"/>
              </w:rPr>
              <w:t>Refactoring breaks valid legacy behavior</w:t>
            </w:r>
          </w:p>
        </w:tc>
        <w:tc>
          <w:tcPr>
            <w:tcW w:type="dxa" w:w="5040"/>
            <w:vAlign w:val="top"/>
          </w:tcPr>
          <w:p>
            <w:r/>
            <w:r>
              <w:rPr>
                <w:b w:val="0"/>
                <w:sz w:val="18"/>
              </w:rPr>
              <w:t>Require inspection and characterization tests before risky refactors.</w:t>
            </w:r>
          </w:p>
        </w:tc>
      </w:tr>
      <w:tr>
        <w:tc>
          <w:tcPr>
            <w:tcW w:type="dxa" w:w="5040"/>
            <w:vAlign w:val="top"/>
          </w:tcPr>
          <w:p>
            <w:r/>
            <w:r>
              <w:rPr>
                <w:b w:val="0"/>
                <w:sz w:val="18"/>
              </w:rPr>
              <w:t>Features are built in isolated layers</w:t>
            </w:r>
          </w:p>
        </w:tc>
        <w:tc>
          <w:tcPr>
            <w:tcW w:type="dxa" w:w="5040"/>
            <w:vAlign w:val="top"/>
          </w:tcPr>
          <w:p>
            <w:r/>
            <w:r>
              <w:rPr>
                <w:b w:val="0"/>
                <w:sz w:val="18"/>
              </w:rPr>
              <w:t>Require vertical-slice validation across Core, Data, API, UI, ACL, and Runtime when affected.</w:t>
            </w:r>
          </w:p>
        </w:tc>
      </w:tr>
      <w:tr>
        <w:tc>
          <w:tcPr>
            <w:tcW w:type="dxa" w:w="5040"/>
            <w:vAlign w:val="top"/>
          </w:tcPr>
          <w:p>
            <w:r/>
            <w:r>
              <w:rPr>
                <w:b w:val="0"/>
                <w:sz w:val="18"/>
              </w:rPr>
              <w:t>Coverage numbers hide critical gaps</w:t>
            </w:r>
          </w:p>
        </w:tc>
        <w:tc>
          <w:tcPr>
            <w:tcW w:type="dxa" w:w="5040"/>
            <w:vAlign w:val="top"/>
          </w:tcPr>
          <w:p>
            <w:r/>
            <w:r>
              <w:rPr>
                <w:b w:val="0"/>
                <w:sz w:val="18"/>
              </w:rPr>
              <w:t>Use risk-based quality gates and coverage matrices.</w:t>
            </w:r>
          </w:p>
        </w:tc>
      </w:tr>
      <w:tr>
        <w:tc>
          <w:tcPr>
            <w:tcW w:type="dxa" w:w="5040"/>
            <w:vAlign w:val="top"/>
          </w:tcPr>
          <w:p>
            <w:r/>
            <w:r>
              <w:rPr>
                <w:b w:val="0"/>
                <w:sz w:val="18"/>
              </w:rPr>
              <w:t>Manual QA is forgotten</w:t>
            </w:r>
          </w:p>
        </w:tc>
        <w:tc>
          <w:tcPr>
            <w:tcW w:type="dxa" w:w="5040"/>
            <w:vAlign w:val="top"/>
          </w:tcPr>
          <w:p>
            <w:r/>
            <w:r>
              <w:rPr>
                <w:b w:val="0"/>
                <w:sz w:val="18"/>
              </w:rPr>
              <w:t>Require a human architect smoke path for user-facing changes.</w:t>
            </w:r>
          </w:p>
        </w:tc>
      </w:tr>
    </w:tbl>
    <w:p/>
    <w:p>
      <w:pPr>
        <w:pStyle w:val="Heading1"/>
      </w:pPr>
      <w:r>
        <w:t>2. Position in the Foundation Stack</w:t>
      </w:r>
    </w:p>
    <w:p>
      <w:r>
        <w:t>Testing / Quality is cross-cutting. It does not replace the other foundations. It verifies them. Each foundation defines how a layer should be built; this foundation defines how the work is validated, documented, and accepted.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Layer</w:t>
            </w:r>
          </w:p>
        </w:tc>
        <w:tc>
          <w:tcPr>
            <w:tcW w:type="dxa" w:w="5040"/>
            <w:shd w:fill="D9EAF7"/>
            <w:vAlign w:val="center"/>
          </w:tcPr>
          <w:p>
            <w:r/>
            <w:r>
              <w:rPr>
                <w:b/>
                <w:sz w:val="18"/>
              </w:rPr>
              <w:t>Quality responsibility</w:t>
            </w:r>
          </w:p>
        </w:tc>
      </w:tr>
      <w:tr>
        <w:tc>
          <w:tcPr>
            <w:tcW w:type="dxa" w:w="5040"/>
            <w:vAlign w:val="top"/>
          </w:tcPr>
          <w:p>
            <w:r/>
            <w:r>
              <w:rPr>
                <w:b w:val="0"/>
                <w:sz w:val="18"/>
              </w:rPr>
              <w:t>Construction Doctrine</w:t>
            </w:r>
          </w:p>
        </w:tc>
        <w:tc>
          <w:tcPr>
            <w:tcW w:type="dxa" w:w="5040"/>
            <w:vAlign w:val="top"/>
          </w:tcPr>
          <w:p>
            <w:r/>
            <w:r>
              <w:rPr>
                <w:b w:val="0"/>
                <w:sz w:val="18"/>
              </w:rPr>
              <w:t>Ensure features are built as reviewable vertical slices, not hidden backend-only work.</w:t>
            </w:r>
          </w:p>
        </w:tc>
      </w:tr>
      <w:tr>
        <w:tc>
          <w:tcPr>
            <w:tcW w:type="dxa" w:w="5040"/>
            <w:vAlign w:val="top"/>
          </w:tcPr>
          <w:p>
            <w:r/>
            <w:r>
              <w:rPr>
                <w:b w:val="0"/>
                <w:sz w:val="18"/>
              </w:rPr>
              <w:t>Domain/Core</w:t>
            </w:r>
          </w:p>
        </w:tc>
        <w:tc>
          <w:tcPr>
            <w:tcW w:type="dxa" w:w="5040"/>
            <w:vAlign w:val="top"/>
          </w:tcPr>
          <w:p>
            <w:r/>
            <w:r>
              <w:rPr>
                <w:b w:val="0"/>
                <w:sz w:val="18"/>
              </w:rPr>
              <w:t>Verify business rules, use cases, workflow states, invariants, and domain events.</w:t>
            </w:r>
          </w:p>
        </w:tc>
      </w:tr>
      <w:tr>
        <w:tc>
          <w:tcPr>
            <w:tcW w:type="dxa" w:w="5040"/>
            <w:vAlign w:val="top"/>
          </w:tcPr>
          <w:p>
            <w:r/>
            <w:r>
              <w:rPr>
                <w:b w:val="0"/>
                <w:sz w:val="18"/>
              </w:rPr>
              <w:t>Data</w:t>
            </w:r>
          </w:p>
        </w:tc>
        <w:tc>
          <w:tcPr>
            <w:tcW w:type="dxa" w:w="5040"/>
            <w:vAlign w:val="top"/>
          </w:tcPr>
          <w:p>
            <w:r/>
            <w:r>
              <w:rPr>
                <w:b w:val="0"/>
                <w:sz w:val="18"/>
              </w:rPr>
              <w:t>Verify schema contracts, migrations, lifecycle, tenancy, import/export, datasets, and old-record readability.</w:t>
            </w:r>
          </w:p>
        </w:tc>
      </w:tr>
      <w:tr>
        <w:tc>
          <w:tcPr>
            <w:tcW w:type="dxa" w:w="5040"/>
            <w:vAlign w:val="top"/>
          </w:tcPr>
          <w:p>
            <w:r/>
            <w:r>
              <w:rPr>
                <w:b w:val="0"/>
                <w:sz w:val="18"/>
              </w:rPr>
              <w:t>API</w:t>
            </w:r>
          </w:p>
        </w:tc>
        <w:tc>
          <w:tcPr>
            <w:tcW w:type="dxa" w:w="5040"/>
            <w:vAlign w:val="top"/>
          </w:tcPr>
          <w:p>
            <w:r/>
            <w:r>
              <w:rPr>
                <w:b w:val="0"/>
                <w:sz w:val="18"/>
              </w:rPr>
              <w:t>Verify OpenAPI/AsyncAPI compatibility, validation, error envelopes, idempotency, pagination, and webhooks.</w:t>
            </w:r>
          </w:p>
        </w:tc>
      </w:tr>
      <w:tr>
        <w:tc>
          <w:tcPr>
            <w:tcW w:type="dxa" w:w="5040"/>
            <w:vAlign w:val="top"/>
          </w:tcPr>
          <w:p>
            <w:r/>
            <w:r>
              <w:rPr>
                <w:b w:val="0"/>
                <w:sz w:val="18"/>
              </w:rPr>
              <w:t>UI</w:t>
            </w:r>
          </w:p>
        </w:tc>
        <w:tc>
          <w:tcPr>
            <w:tcW w:type="dxa" w:w="5040"/>
            <w:vAlign w:val="top"/>
          </w:tcPr>
          <w:p>
            <w:r/>
            <w:r>
              <w:rPr>
                <w:b w:val="0"/>
                <w:sz w:val="18"/>
              </w:rPr>
              <w:t>Verify component behavior, critical screens, accessibility, loading/error/empty states, and human smoke paths.</w:t>
            </w:r>
          </w:p>
        </w:tc>
      </w:tr>
      <w:tr>
        <w:tc>
          <w:tcPr>
            <w:tcW w:type="dxa" w:w="5040"/>
            <w:vAlign w:val="top"/>
          </w:tcPr>
          <w:p>
            <w:r/>
            <w:r>
              <w:rPr>
                <w:b w:val="0"/>
                <w:sz w:val="18"/>
              </w:rPr>
              <w:t>Access Control</w:t>
            </w:r>
          </w:p>
        </w:tc>
        <w:tc>
          <w:tcPr>
            <w:tcW w:type="dxa" w:w="5040"/>
            <w:vAlign w:val="top"/>
          </w:tcPr>
          <w:p>
            <w:r/>
            <w:r>
              <w:rPr>
                <w:b w:val="0"/>
                <w:sz w:val="18"/>
              </w:rPr>
              <w:t>Verify allowed and denied cases, route classification, tenant/scope containment, audit logging, and privilege escalation prevention.</w:t>
            </w:r>
          </w:p>
        </w:tc>
      </w:tr>
      <w:tr>
        <w:tc>
          <w:tcPr>
            <w:tcW w:type="dxa" w:w="5040"/>
            <w:vAlign w:val="top"/>
          </w:tcPr>
          <w:p>
            <w:r/>
            <w:r>
              <w:rPr>
                <w:b w:val="0"/>
                <w:sz w:val="18"/>
              </w:rPr>
              <w:t>Runtime</w:t>
            </w:r>
          </w:p>
        </w:tc>
        <w:tc>
          <w:tcPr>
            <w:tcW w:type="dxa" w:w="5040"/>
            <w:vAlign w:val="top"/>
          </w:tcPr>
          <w:p>
            <w:r/>
            <w:r>
              <w:rPr>
                <w:b w:val="0"/>
                <w:sz w:val="18"/>
              </w:rPr>
              <w:t>Verify jobs, schedules, queues, locks, retries, cache/session safety, dead-letter paths, and idempotency.</w:t>
            </w:r>
          </w:p>
        </w:tc>
      </w:tr>
    </w:tbl>
    <w:p/>
    <w:p>
      <w:pPr>
        <w:pStyle w:val="Heading1"/>
      </w:pPr>
      <w:r>
        <w:t>3. Core Principles</w:t>
      </w:r>
    </w:p>
    <w:p>
      <w:pPr>
        <w:pStyle w:val="ListBullet"/>
      </w:pPr>
      <w:r>
        <w:t>Testing is part of implementation, not a phase after implementation.</w:t>
      </w:r>
    </w:p>
    <w:p>
      <w:pPr>
        <w:pStyle w:val="ListBullet"/>
      </w:pPr>
      <w:r>
        <w:t>A change is only complete when the relevant validation path is known and reported.</w:t>
      </w:r>
    </w:p>
    <w:p>
      <w:pPr>
        <w:pStyle w:val="ListBullet"/>
      </w:pPr>
      <w:r>
        <w:t>Risk determines depth: critical paths deserve deeper tests than low-risk presentation changes.</w:t>
      </w:r>
    </w:p>
    <w:p>
      <w:pPr>
        <w:pStyle w:val="ListBullet"/>
      </w:pPr>
      <w:r>
        <w:t>Negative tests are mandatory for permissions, validation, data boundaries, imports, uploads, and destructive operations.</w:t>
      </w:r>
    </w:p>
    <w:p>
      <w:pPr>
        <w:pStyle w:val="ListBullet"/>
      </w:pPr>
      <w:r>
        <w:t>Refactoring requires behavior preservation, characterization tests, or documented intentional change.</w:t>
      </w:r>
    </w:p>
    <w:p>
      <w:pPr>
        <w:pStyle w:val="ListBullet"/>
      </w:pPr>
      <w:r>
        <w:t>Manual smoke tests remain valid but must be documented and repeatable.</w:t>
      </w:r>
    </w:p>
    <w:p>
      <w:pPr>
        <w:pStyle w:val="ListBullet"/>
      </w:pPr>
      <w:r>
        <w:t>Coverage percentage is useful only when paired with critical-path coverage.</w:t>
      </w:r>
    </w:p>
    <w:p>
      <w:pPr>
        <w:pStyle w:val="ListBullet"/>
      </w:pPr>
      <w:r>
        <w:t>AI agents must report what was not tested as clearly as what was tested.</w:t>
      </w:r>
    </w:p>
    <w:p>
      <w:pPr>
        <w:pStyle w:val="Heading1"/>
      </w:pPr>
      <w:r>
        <w:t>4. Quality Maturity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Level</w:t>
            </w:r>
          </w:p>
        </w:tc>
        <w:tc>
          <w:tcPr>
            <w:tcW w:type="dxa" w:w="3360"/>
            <w:shd w:fill="D9EAF7"/>
            <w:vAlign w:val="center"/>
          </w:tcPr>
          <w:p>
            <w:r/>
            <w:r>
              <w:rPr>
                <w:b/>
                <w:sz w:val="18"/>
              </w:rPr>
              <w:t>Name</w:t>
            </w:r>
          </w:p>
        </w:tc>
        <w:tc>
          <w:tcPr>
            <w:tcW w:type="dxa" w:w="3360"/>
            <w:shd w:fill="D9EAF7"/>
            <w:vAlign w:val="center"/>
          </w:tcPr>
          <w:p>
            <w:r/>
            <w:r>
              <w:rPr>
                <w:b/>
                <w:sz w:val="18"/>
              </w:rPr>
              <w:t>Meaning</w:t>
            </w:r>
          </w:p>
        </w:tc>
      </w:tr>
      <w:tr>
        <w:tc>
          <w:tcPr>
            <w:tcW w:type="dxa" w:w="3360"/>
            <w:vAlign w:val="top"/>
          </w:tcPr>
          <w:p>
            <w:r/>
            <w:r>
              <w:rPr>
                <w:b w:val="0"/>
                <w:sz w:val="18"/>
              </w:rPr>
              <w:t>0</w:t>
            </w:r>
          </w:p>
        </w:tc>
        <w:tc>
          <w:tcPr>
            <w:tcW w:type="dxa" w:w="3360"/>
            <w:vAlign w:val="top"/>
          </w:tcPr>
          <w:p>
            <w:r/>
            <w:r>
              <w:rPr>
                <w:b w:val="0"/>
                <w:sz w:val="18"/>
              </w:rPr>
              <w:t>Unverified</w:t>
            </w:r>
          </w:p>
        </w:tc>
        <w:tc>
          <w:tcPr>
            <w:tcW w:type="dxa" w:w="3360"/>
            <w:vAlign w:val="top"/>
          </w:tcPr>
          <w:p>
            <w:r/>
            <w:r>
              <w:rPr>
                <w:b w:val="0"/>
                <w:sz w:val="18"/>
              </w:rPr>
              <w:t>Code exists but has no reliable tests, smoke checks, or review path.</w:t>
            </w:r>
          </w:p>
        </w:tc>
      </w:tr>
      <w:tr>
        <w:tc>
          <w:tcPr>
            <w:tcW w:type="dxa" w:w="3360"/>
            <w:vAlign w:val="top"/>
          </w:tcPr>
          <w:p>
            <w:r/>
            <w:r>
              <w:rPr>
                <w:b w:val="0"/>
                <w:sz w:val="18"/>
              </w:rPr>
              <w:t>1</w:t>
            </w:r>
          </w:p>
        </w:tc>
        <w:tc>
          <w:tcPr>
            <w:tcW w:type="dxa" w:w="3360"/>
            <w:vAlign w:val="top"/>
          </w:tcPr>
          <w:p>
            <w:r/>
            <w:r>
              <w:rPr>
                <w:b w:val="0"/>
                <w:sz w:val="18"/>
              </w:rPr>
              <w:t>Smoke-Tested</w:t>
            </w:r>
          </w:p>
        </w:tc>
        <w:tc>
          <w:tcPr>
            <w:tcW w:type="dxa" w:w="3360"/>
            <w:vAlign w:val="top"/>
          </w:tcPr>
          <w:p>
            <w:r/>
            <w:r>
              <w:rPr>
                <w:b w:val="0"/>
                <w:sz w:val="18"/>
              </w:rPr>
              <w:t>The application can be manually or minimally checked, but regression protection is weak.</w:t>
            </w:r>
          </w:p>
        </w:tc>
      </w:tr>
      <w:tr>
        <w:tc>
          <w:tcPr>
            <w:tcW w:type="dxa" w:w="3360"/>
            <w:vAlign w:val="top"/>
          </w:tcPr>
          <w:p>
            <w:r/>
            <w:r>
              <w:rPr>
                <w:b w:val="0"/>
                <w:sz w:val="18"/>
              </w:rPr>
              <w:t>2</w:t>
            </w:r>
          </w:p>
        </w:tc>
        <w:tc>
          <w:tcPr>
            <w:tcW w:type="dxa" w:w="3360"/>
            <w:vAlign w:val="top"/>
          </w:tcPr>
          <w:p>
            <w:r/>
            <w:r>
              <w:rPr>
                <w:b w:val="0"/>
                <w:sz w:val="18"/>
              </w:rPr>
              <w:t>Unit-Tested</w:t>
            </w:r>
          </w:p>
        </w:tc>
        <w:tc>
          <w:tcPr>
            <w:tcW w:type="dxa" w:w="3360"/>
            <w:vAlign w:val="top"/>
          </w:tcPr>
          <w:p>
            <w:r/>
            <w:r>
              <w:rPr>
                <w:b w:val="0"/>
                <w:sz w:val="18"/>
              </w:rPr>
              <w:t>Core logic and simple services are tested; integration and UI gaps remain.</w:t>
            </w:r>
          </w:p>
        </w:tc>
      </w:tr>
      <w:tr>
        <w:tc>
          <w:tcPr>
            <w:tcW w:type="dxa" w:w="3360"/>
            <w:vAlign w:val="top"/>
          </w:tcPr>
          <w:p>
            <w:r/>
            <w:r>
              <w:rPr>
                <w:b w:val="0"/>
                <w:sz w:val="18"/>
              </w:rPr>
              <w:t>3</w:t>
            </w:r>
          </w:p>
        </w:tc>
        <w:tc>
          <w:tcPr>
            <w:tcW w:type="dxa" w:w="3360"/>
            <w:vAlign w:val="top"/>
          </w:tcPr>
          <w:p>
            <w:r/>
            <w:r>
              <w:rPr>
                <w:b w:val="0"/>
                <w:sz w:val="18"/>
              </w:rPr>
              <w:t>Integrated</w:t>
            </w:r>
          </w:p>
        </w:tc>
        <w:tc>
          <w:tcPr>
            <w:tcW w:type="dxa" w:w="3360"/>
            <w:vAlign w:val="top"/>
          </w:tcPr>
          <w:p>
            <w:r/>
            <w:r>
              <w:rPr>
                <w:b w:val="0"/>
                <w:sz w:val="18"/>
              </w:rPr>
              <w:t>Core, data, API, ACL, runtime, and major UI flows have meaningful tests.</w:t>
            </w:r>
          </w:p>
        </w:tc>
      </w:tr>
      <w:tr>
        <w:tc>
          <w:tcPr>
            <w:tcW w:type="dxa" w:w="3360"/>
            <w:vAlign w:val="top"/>
          </w:tcPr>
          <w:p>
            <w:r/>
            <w:r>
              <w:rPr>
                <w:b w:val="0"/>
                <w:sz w:val="18"/>
              </w:rPr>
              <w:t>4</w:t>
            </w:r>
          </w:p>
        </w:tc>
        <w:tc>
          <w:tcPr>
            <w:tcW w:type="dxa" w:w="3360"/>
            <w:vAlign w:val="top"/>
          </w:tcPr>
          <w:p>
            <w:r/>
            <w:r>
              <w:rPr>
                <w:b w:val="0"/>
                <w:sz w:val="18"/>
              </w:rPr>
              <w:t>Regression-Safe</w:t>
            </w:r>
          </w:p>
        </w:tc>
        <w:tc>
          <w:tcPr>
            <w:tcW w:type="dxa" w:w="3360"/>
            <w:vAlign w:val="top"/>
          </w:tcPr>
          <w:p>
            <w:r/>
            <w:r>
              <w:rPr>
                <w:b w:val="0"/>
                <w:sz w:val="18"/>
              </w:rPr>
              <w:t>Test matrices, fixtures, contract tests, migration tests, smoke scripts, and CI-ready checks exist.</w:t>
            </w:r>
          </w:p>
        </w:tc>
      </w:tr>
      <w:tr>
        <w:tc>
          <w:tcPr>
            <w:tcW w:type="dxa" w:w="3360"/>
            <w:vAlign w:val="top"/>
          </w:tcPr>
          <w:p>
            <w:r/>
            <w:r>
              <w:rPr>
                <w:b w:val="0"/>
                <w:sz w:val="18"/>
              </w:rPr>
              <w:t>5</w:t>
            </w:r>
          </w:p>
        </w:tc>
        <w:tc>
          <w:tcPr>
            <w:tcW w:type="dxa" w:w="3360"/>
            <w:vAlign w:val="top"/>
          </w:tcPr>
          <w:p>
            <w:r/>
            <w:r>
              <w:rPr>
                <w:b w:val="0"/>
                <w:sz w:val="18"/>
              </w:rPr>
              <w:t>Release-Ready</w:t>
            </w:r>
          </w:p>
        </w:tc>
        <w:tc>
          <w:tcPr>
            <w:tcW w:type="dxa" w:w="3360"/>
            <w:vAlign w:val="top"/>
          </w:tcPr>
          <w:p>
            <w:r/>
            <w:r>
              <w:rPr>
                <w:b w:val="0"/>
                <w:sz w:val="18"/>
              </w:rPr>
              <w:t>Automated gates, manual QA, risk register, observability checks, performance/security/a11y coverage, and sign-off exist.</w:t>
            </w:r>
          </w:p>
        </w:tc>
      </w:tr>
    </w:tbl>
    <w:p/>
    <w:p>
      <w:pPr>
        <w:pStyle w:val="Heading1"/>
      </w:pPr>
      <w:r>
        <w:t>5. Required Test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8"/>
              </w:rPr>
              <w:t>Category</w:t>
            </w:r>
          </w:p>
        </w:tc>
        <w:tc>
          <w:tcPr>
            <w:tcW w:type="dxa" w:w="3360"/>
            <w:shd w:fill="D9EAF7"/>
            <w:vAlign w:val="center"/>
          </w:tcPr>
          <w:p>
            <w:r/>
            <w:r>
              <w:rPr>
                <w:b/>
                <w:sz w:val="18"/>
              </w:rPr>
              <w:t>What it proves</w:t>
            </w:r>
          </w:p>
        </w:tc>
        <w:tc>
          <w:tcPr>
            <w:tcW w:type="dxa" w:w="3360"/>
            <w:shd w:fill="D9EAF7"/>
            <w:vAlign w:val="center"/>
          </w:tcPr>
          <w:p>
            <w:r/>
            <w:r>
              <w:rPr>
                <w:b/>
                <w:sz w:val="18"/>
              </w:rPr>
              <w:t>Examples</w:t>
            </w:r>
          </w:p>
        </w:tc>
      </w:tr>
      <w:tr>
        <w:tc>
          <w:tcPr>
            <w:tcW w:type="dxa" w:w="3360"/>
            <w:vAlign w:val="top"/>
          </w:tcPr>
          <w:p>
            <w:r/>
            <w:r>
              <w:rPr>
                <w:b w:val="0"/>
                <w:sz w:val="18"/>
              </w:rPr>
              <w:t>Unit</w:t>
            </w:r>
          </w:p>
        </w:tc>
        <w:tc>
          <w:tcPr>
            <w:tcW w:type="dxa" w:w="3360"/>
            <w:vAlign w:val="top"/>
          </w:tcPr>
          <w:p>
            <w:r/>
            <w:r>
              <w:rPr>
                <w:b w:val="0"/>
                <w:sz w:val="18"/>
              </w:rPr>
              <w:t>An isolated function, object, or service behaves correctly.</w:t>
            </w:r>
          </w:p>
        </w:tc>
        <w:tc>
          <w:tcPr>
            <w:tcW w:type="dxa" w:w="3360"/>
            <w:vAlign w:val="top"/>
          </w:tcPr>
          <w:p>
            <w:r/>
            <w:r>
              <w:rPr>
                <w:b w:val="0"/>
                <w:sz w:val="18"/>
              </w:rPr>
              <w:t>Validators, calculators, value objects, pure services.</w:t>
            </w:r>
          </w:p>
        </w:tc>
      </w:tr>
      <w:tr>
        <w:tc>
          <w:tcPr>
            <w:tcW w:type="dxa" w:w="3360"/>
            <w:vAlign w:val="top"/>
          </w:tcPr>
          <w:p>
            <w:r/>
            <w:r>
              <w:rPr>
                <w:b w:val="0"/>
                <w:sz w:val="18"/>
              </w:rPr>
              <w:t>Domain / Use Case</w:t>
            </w:r>
          </w:p>
        </w:tc>
        <w:tc>
          <w:tcPr>
            <w:tcW w:type="dxa" w:w="3360"/>
            <w:vAlign w:val="top"/>
          </w:tcPr>
          <w:p>
            <w:r/>
            <w:r>
              <w:rPr>
                <w:b w:val="0"/>
                <w:sz w:val="18"/>
              </w:rPr>
              <w:t>Business behavior works according to product rules.</w:t>
            </w:r>
          </w:p>
        </w:tc>
        <w:tc>
          <w:tcPr>
            <w:tcW w:type="dxa" w:w="3360"/>
            <w:vAlign w:val="top"/>
          </w:tcPr>
          <w:p>
            <w:r/>
            <w:r>
              <w:rPr>
                <w:b w:val="0"/>
                <w:sz w:val="18"/>
              </w:rPr>
              <w:t>Approve item, calculate bid, publish content, assign task.</w:t>
            </w:r>
          </w:p>
        </w:tc>
      </w:tr>
      <w:tr>
        <w:tc>
          <w:tcPr>
            <w:tcW w:type="dxa" w:w="3360"/>
            <w:vAlign w:val="top"/>
          </w:tcPr>
          <w:p>
            <w:r/>
            <w:r>
              <w:rPr>
                <w:b w:val="0"/>
                <w:sz w:val="18"/>
              </w:rPr>
              <w:t>Data</w:t>
            </w:r>
          </w:p>
        </w:tc>
        <w:tc>
          <w:tcPr>
            <w:tcW w:type="dxa" w:w="3360"/>
            <w:vAlign w:val="top"/>
          </w:tcPr>
          <w:p>
            <w:r/>
            <w:r>
              <w:rPr>
                <w:b w:val="0"/>
                <w:sz w:val="18"/>
              </w:rPr>
              <w:t>Persistence and schema behavior are safe.</w:t>
            </w:r>
          </w:p>
        </w:tc>
        <w:tc>
          <w:tcPr>
            <w:tcW w:type="dxa" w:w="3360"/>
            <w:vAlign w:val="top"/>
          </w:tcPr>
          <w:p>
            <w:r/>
            <w:r>
              <w:rPr>
                <w:b w:val="0"/>
                <w:sz w:val="18"/>
              </w:rPr>
              <w:t>Migrations, repositories, lifecycle, import/export, old records.</w:t>
            </w:r>
          </w:p>
        </w:tc>
      </w:tr>
      <w:tr>
        <w:tc>
          <w:tcPr>
            <w:tcW w:type="dxa" w:w="3360"/>
            <w:vAlign w:val="top"/>
          </w:tcPr>
          <w:p>
            <w:r/>
            <w:r>
              <w:rPr>
                <w:b w:val="0"/>
                <w:sz w:val="18"/>
              </w:rPr>
              <w:t>API / Contract</w:t>
            </w:r>
          </w:p>
        </w:tc>
        <w:tc>
          <w:tcPr>
            <w:tcW w:type="dxa" w:w="3360"/>
            <w:vAlign w:val="top"/>
          </w:tcPr>
          <w:p>
            <w:r/>
            <w:r>
              <w:rPr>
                <w:b w:val="0"/>
                <w:sz w:val="18"/>
              </w:rPr>
              <w:t>Interfaces remain compatible and validated.</w:t>
            </w:r>
          </w:p>
        </w:tc>
        <w:tc>
          <w:tcPr>
            <w:tcW w:type="dxa" w:w="3360"/>
            <w:vAlign w:val="top"/>
          </w:tcPr>
          <w:p>
            <w:r/>
            <w:r>
              <w:rPr>
                <w:b w:val="0"/>
                <w:sz w:val="18"/>
              </w:rPr>
              <w:t>OpenAPI schemas, response envelopes, errors, pagination.</w:t>
            </w:r>
          </w:p>
        </w:tc>
      </w:tr>
      <w:tr>
        <w:tc>
          <w:tcPr>
            <w:tcW w:type="dxa" w:w="3360"/>
            <w:vAlign w:val="top"/>
          </w:tcPr>
          <w:p>
            <w:r/>
            <w:r>
              <w:rPr>
                <w:b w:val="0"/>
                <w:sz w:val="18"/>
              </w:rPr>
              <w:t>Event / Async</w:t>
            </w:r>
          </w:p>
        </w:tc>
        <w:tc>
          <w:tcPr>
            <w:tcW w:type="dxa" w:w="3360"/>
            <w:vAlign w:val="top"/>
          </w:tcPr>
          <w:p>
            <w:r/>
            <w:r>
              <w:rPr>
                <w:b w:val="0"/>
                <w:sz w:val="18"/>
              </w:rPr>
              <w:t>Messages and consumers remain compatible.</w:t>
            </w:r>
          </w:p>
        </w:tc>
        <w:tc>
          <w:tcPr>
            <w:tcW w:type="dxa" w:w="3360"/>
            <w:vAlign w:val="top"/>
          </w:tcPr>
          <w:p>
            <w:r/>
            <w:r>
              <w:rPr>
                <w:b w:val="0"/>
                <w:sz w:val="18"/>
              </w:rPr>
              <w:t>AsyncAPI payloads, idempotency keys, consumer behavior.</w:t>
            </w:r>
          </w:p>
        </w:tc>
      </w:tr>
      <w:tr>
        <w:tc>
          <w:tcPr>
            <w:tcW w:type="dxa" w:w="3360"/>
            <w:vAlign w:val="top"/>
          </w:tcPr>
          <w:p>
            <w:r/>
            <w:r>
              <w:rPr>
                <w:b w:val="0"/>
                <w:sz w:val="18"/>
              </w:rPr>
              <w:t>UI / Browser</w:t>
            </w:r>
          </w:p>
        </w:tc>
        <w:tc>
          <w:tcPr>
            <w:tcW w:type="dxa" w:w="3360"/>
            <w:vAlign w:val="top"/>
          </w:tcPr>
          <w:p>
            <w:r/>
            <w:r>
              <w:rPr>
                <w:b w:val="0"/>
                <w:sz w:val="18"/>
              </w:rPr>
              <w:t>Users can complete critical workflows.</w:t>
            </w:r>
          </w:p>
        </w:tc>
        <w:tc>
          <w:tcPr>
            <w:tcW w:type="dxa" w:w="3360"/>
            <w:vAlign w:val="top"/>
          </w:tcPr>
          <w:p>
            <w:r/>
            <w:r>
              <w:rPr>
                <w:b w:val="0"/>
                <w:sz w:val="18"/>
              </w:rPr>
              <w:t>Login, create record, edit form, permission-denied screen.</w:t>
            </w:r>
          </w:p>
        </w:tc>
      </w:tr>
      <w:tr>
        <w:tc>
          <w:tcPr>
            <w:tcW w:type="dxa" w:w="3360"/>
            <w:vAlign w:val="top"/>
          </w:tcPr>
          <w:p>
            <w:r/>
            <w:r>
              <w:rPr>
                <w:b w:val="0"/>
                <w:sz w:val="18"/>
              </w:rPr>
              <w:t>ACL</w:t>
            </w:r>
          </w:p>
        </w:tc>
        <w:tc>
          <w:tcPr>
            <w:tcW w:type="dxa" w:w="3360"/>
            <w:vAlign w:val="top"/>
          </w:tcPr>
          <w:p>
            <w:r/>
            <w:r>
              <w:rPr>
                <w:b w:val="0"/>
                <w:sz w:val="18"/>
              </w:rPr>
              <w:t>Authorization is enforced server-side.</w:t>
            </w:r>
          </w:p>
        </w:tc>
        <w:tc>
          <w:tcPr>
            <w:tcW w:type="dxa" w:w="3360"/>
            <w:vAlign w:val="top"/>
          </w:tcPr>
          <w:p>
            <w:r/>
            <w:r>
              <w:rPr>
                <w:b w:val="0"/>
                <w:sz w:val="18"/>
              </w:rPr>
              <w:t>Allowed/denied cases, scope isolation, privilege escalation prevention.</w:t>
            </w:r>
          </w:p>
        </w:tc>
      </w:tr>
      <w:tr>
        <w:tc>
          <w:tcPr>
            <w:tcW w:type="dxa" w:w="3360"/>
            <w:vAlign w:val="top"/>
          </w:tcPr>
          <w:p>
            <w:r/>
            <w:r>
              <w:rPr>
                <w:b w:val="0"/>
                <w:sz w:val="18"/>
              </w:rPr>
              <w:t>Runtime</w:t>
            </w:r>
          </w:p>
        </w:tc>
        <w:tc>
          <w:tcPr>
            <w:tcW w:type="dxa" w:w="3360"/>
            <w:vAlign w:val="top"/>
          </w:tcPr>
          <w:p>
            <w:r/>
            <w:r>
              <w:rPr>
                <w:b w:val="0"/>
                <w:sz w:val="18"/>
              </w:rPr>
              <w:t>Operational work executes reliably.</w:t>
            </w:r>
          </w:p>
        </w:tc>
        <w:tc>
          <w:tcPr>
            <w:tcW w:type="dxa" w:w="3360"/>
            <w:vAlign w:val="top"/>
          </w:tcPr>
          <w:p>
            <w:r/>
            <w:r>
              <w:rPr>
                <w:b w:val="0"/>
                <w:sz w:val="18"/>
              </w:rPr>
              <w:t>Retries, locks, schedules, queues, dead letters, webhook replays.</w:t>
            </w:r>
          </w:p>
        </w:tc>
      </w:tr>
      <w:tr>
        <w:tc>
          <w:tcPr>
            <w:tcW w:type="dxa" w:w="3360"/>
            <w:vAlign w:val="top"/>
          </w:tcPr>
          <w:p>
            <w:r/>
            <w:r>
              <w:rPr>
                <w:b w:val="0"/>
                <w:sz w:val="18"/>
              </w:rPr>
              <w:t>Migration / Backfill</w:t>
            </w:r>
          </w:p>
        </w:tc>
        <w:tc>
          <w:tcPr>
            <w:tcW w:type="dxa" w:w="3360"/>
            <w:vAlign w:val="top"/>
          </w:tcPr>
          <w:p>
            <w:r/>
            <w:r>
              <w:rPr>
                <w:b w:val="0"/>
                <w:sz w:val="18"/>
              </w:rPr>
              <w:t>Live data evolves safely.</w:t>
            </w:r>
          </w:p>
        </w:tc>
        <w:tc>
          <w:tcPr>
            <w:tcW w:type="dxa" w:w="3360"/>
            <w:vAlign w:val="top"/>
          </w:tcPr>
          <w:p>
            <w:r/>
            <w:r>
              <w:rPr>
                <w:b w:val="0"/>
                <w:sz w:val="18"/>
              </w:rPr>
              <w:t>Apply migration, transform existing records, rollback/forward plan.</w:t>
            </w:r>
          </w:p>
        </w:tc>
      </w:tr>
      <w:tr>
        <w:tc>
          <w:tcPr>
            <w:tcW w:type="dxa" w:w="3360"/>
            <w:vAlign w:val="top"/>
          </w:tcPr>
          <w:p>
            <w:r/>
            <w:r>
              <w:rPr>
                <w:b w:val="0"/>
                <w:sz w:val="18"/>
              </w:rPr>
              <w:t>Accessibility</w:t>
            </w:r>
          </w:p>
        </w:tc>
        <w:tc>
          <w:tcPr>
            <w:tcW w:type="dxa" w:w="3360"/>
            <w:vAlign w:val="top"/>
          </w:tcPr>
          <w:p>
            <w:r/>
            <w:r>
              <w:rPr>
                <w:b w:val="0"/>
                <w:sz w:val="18"/>
              </w:rPr>
              <w:t>UI remains usable by keyboard and assistive technology.</w:t>
            </w:r>
          </w:p>
        </w:tc>
        <w:tc>
          <w:tcPr>
            <w:tcW w:type="dxa" w:w="3360"/>
            <w:vAlign w:val="top"/>
          </w:tcPr>
          <w:p>
            <w:r/>
            <w:r>
              <w:rPr>
                <w:b w:val="0"/>
                <w:sz w:val="18"/>
              </w:rPr>
              <w:t>Focus order, labels, contrast, ARIA structure.</w:t>
            </w:r>
          </w:p>
        </w:tc>
      </w:tr>
      <w:tr>
        <w:tc>
          <w:tcPr>
            <w:tcW w:type="dxa" w:w="3360"/>
            <w:vAlign w:val="top"/>
          </w:tcPr>
          <w:p>
            <w:r/>
            <w:r>
              <w:rPr>
                <w:b w:val="0"/>
                <w:sz w:val="18"/>
              </w:rPr>
              <w:t>Security</w:t>
            </w:r>
          </w:p>
        </w:tc>
        <w:tc>
          <w:tcPr>
            <w:tcW w:type="dxa" w:w="3360"/>
            <w:vAlign w:val="top"/>
          </w:tcPr>
          <w:p>
            <w:r/>
            <w:r>
              <w:rPr>
                <w:b w:val="0"/>
                <w:sz w:val="18"/>
              </w:rPr>
              <w:t>Critical security boundaries hold.</w:t>
            </w:r>
          </w:p>
        </w:tc>
        <w:tc>
          <w:tcPr>
            <w:tcW w:type="dxa" w:w="3360"/>
            <w:vAlign w:val="top"/>
          </w:tcPr>
          <w:p>
            <w:r/>
            <w:r>
              <w:rPr>
                <w:b w:val="0"/>
                <w:sz w:val="18"/>
              </w:rPr>
              <w:t>CSRF, CORS, file upload, session, secrets, rate limits.</w:t>
            </w:r>
          </w:p>
        </w:tc>
      </w:tr>
      <w:tr>
        <w:tc>
          <w:tcPr>
            <w:tcW w:type="dxa" w:w="3360"/>
            <w:vAlign w:val="top"/>
          </w:tcPr>
          <w:p>
            <w:r/>
            <w:r>
              <w:rPr>
                <w:b w:val="0"/>
                <w:sz w:val="18"/>
              </w:rPr>
              <w:t>Smoke / Regression</w:t>
            </w:r>
          </w:p>
        </w:tc>
        <w:tc>
          <w:tcPr>
            <w:tcW w:type="dxa" w:w="3360"/>
            <w:vAlign w:val="top"/>
          </w:tcPr>
          <w:p>
            <w:r/>
            <w:r>
              <w:rPr>
                <w:b w:val="0"/>
                <w:sz w:val="18"/>
              </w:rPr>
              <w:t>The system still boots and known defects stay fixed.</w:t>
            </w:r>
          </w:p>
        </w:tc>
        <w:tc>
          <w:tcPr>
            <w:tcW w:type="dxa" w:w="3360"/>
            <w:vAlign w:val="top"/>
          </w:tcPr>
          <w:p>
            <w:r/>
            <w:r>
              <w:rPr>
                <w:b w:val="0"/>
                <w:sz w:val="18"/>
              </w:rPr>
              <w:t>Boot app, open dashboard, run core flow, reproduce fixed bug.</w:t>
            </w:r>
          </w:p>
        </w:tc>
      </w:tr>
    </w:tbl>
    <w:p/>
    <w:p>
      <w:pPr>
        <w:pStyle w:val="Heading1"/>
      </w:pPr>
      <w:r>
        <w:t>6. New Project Implementation</w:t>
      </w:r>
    </w:p>
    <w:p>
      <w:r>
        <w:t>A new project should establish quality early without over-engineering. The goal is not enterprise-level CI on day one. The goal is to avoid an untestable architecture.</w:t>
      </w:r>
    </w:p>
    <w:p>
      <w:pPr>
        <w:pStyle w:val="ListNumber"/>
      </w:pPr>
      <w:r>
        <w:t>Create testing-foundation-reference.md and testing-adapter.md under /docs/specs/.</w:t>
      </w:r>
    </w:p>
    <w:p>
      <w:pPr>
        <w:pStyle w:val="ListNumber"/>
      </w:pPr>
      <w:r>
        <w:t>Create test inventory, coverage matrix, smoke checklist, and review checklist.</w:t>
      </w:r>
    </w:p>
    <w:p>
      <w:pPr>
        <w:pStyle w:val="ListNumber"/>
      </w:pPr>
      <w:r>
        <w:t>Define local test and smoke commands in README, SETUP, scripts, or project tooling.</w:t>
      </w:r>
    </w:p>
    <w:p>
      <w:pPr>
        <w:pStyle w:val="ListNumber"/>
      </w:pPr>
      <w:r>
        <w:t>Add the first meaningful automated test for the first core/use-case behavior.</w:t>
      </w:r>
    </w:p>
    <w:p>
      <w:pPr>
        <w:pStyle w:val="ListNumber"/>
      </w:pPr>
      <w:r>
        <w:t>Add API, data, UI, ACL, and runtime tests as those layers become active.</w:t>
      </w:r>
    </w:p>
    <w:p>
      <w:pPr>
        <w:pStyle w:val="ListNumber"/>
      </w:pPr>
      <w:r>
        <w:t>Document manual smoke paths for the human architect from the first usable UI forward.</w:t>
      </w:r>
    </w:p>
    <w:p>
      <w:pPr>
        <w:pStyle w:val="Heading1"/>
      </w:pPr>
      <w:r>
        <w:t>7. Existing / Refactoring Project Implementation</w:t>
      </w:r>
    </w:p>
    <w:p>
      <w:r>
        <w:t>Existing projects require a different approach. The first step is to discover and protect current behavior, not to impose a new test framework blindly.</w:t>
      </w:r>
    </w:p>
    <w:p>
      <w:pPr>
        <w:pStyle w:val="ListNumber"/>
      </w:pPr>
      <w:r>
        <w:t>Inspect existing test tools, scripts, CI files, fixtures, smoke paths, and manual QA notes.</w:t>
      </w:r>
    </w:p>
    <w:p>
      <w:pPr>
        <w:pStyle w:val="ListNumber"/>
      </w:pPr>
      <w:r>
        <w:t>Create or update the testing adapter so the repo has one source of truth for validation.</w:t>
      </w:r>
    </w:p>
    <w:p>
      <w:pPr>
        <w:pStyle w:val="ListNumber"/>
      </w:pPr>
      <w:r>
        <w:t>Map current coverage and critical gaps in the coverage matrix.</w:t>
      </w:r>
    </w:p>
    <w:p>
      <w:pPr>
        <w:pStyle w:val="ListNumber"/>
      </w:pPr>
      <w:r>
        <w:t>Add characterization tests before changing fragile or poorly understood behavior.</w:t>
      </w:r>
    </w:p>
    <w:p>
      <w:pPr>
        <w:pStyle w:val="ListNumber"/>
      </w:pPr>
      <w:r>
        <w:t>Preserve valid existing behavior unless an intentional migration is documented.</w:t>
      </w:r>
    </w:p>
    <w:p>
      <w:pPr>
        <w:pStyle w:val="ListNumber"/>
      </w:pPr>
      <w:r>
        <w:t>Add regression tests for fixed defects when technically feasible.</w:t>
      </w:r>
    </w:p>
    <w:p>
      <w:pPr>
        <w:pStyle w:val="ListNumber"/>
      </w:pPr>
      <w:r>
        <w:t>Convert repeated manual checks into automated tests when practical.</w:t>
      </w:r>
    </w:p>
    <w:p>
      <w:pPr>
        <w:pStyle w:val="Heading1"/>
      </w:pPr>
      <w:r>
        <w:t>8. Vertical Slice Quality</w:t>
      </w:r>
    </w:p>
    <w:p>
      <w:r>
        <w:t>The user’s preferred application-construction model requires Core + Data + API + UI as the minimum. Testing must follow the same vertical-slice discipline. A backend-only change that cannot be reviewed through a screen, API, CLI action, or automated test is not sufficiently inspectable.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Feature impact</w:t>
            </w:r>
          </w:p>
        </w:tc>
        <w:tc>
          <w:tcPr>
            <w:tcW w:type="dxa" w:w="5040"/>
            <w:shd w:fill="D9EAF7"/>
            <w:vAlign w:val="center"/>
          </w:tcPr>
          <w:p>
            <w:r/>
            <w:r>
              <w:rPr>
                <w:b/>
                <w:sz w:val="18"/>
              </w:rPr>
              <w:t>Expected validation</w:t>
            </w:r>
          </w:p>
        </w:tc>
      </w:tr>
      <w:tr>
        <w:tc>
          <w:tcPr>
            <w:tcW w:type="dxa" w:w="5040"/>
            <w:vAlign w:val="top"/>
          </w:tcPr>
          <w:p>
            <w:r/>
            <w:r>
              <w:rPr>
                <w:b w:val="0"/>
                <w:sz w:val="18"/>
              </w:rPr>
              <w:t>Core behavior</w:t>
            </w:r>
          </w:p>
        </w:tc>
        <w:tc>
          <w:tcPr>
            <w:tcW w:type="dxa" w:w="5040"/>
            <w:vAlign w:val="top"/>
          </w:tcPr>
          <w:p>
            <w:r/>
            <w:r>
              <w:rPr>
                <w:b w:val="0"/>
                <w:sz w:val="18"/>
              </w:rPr>
              <w:t>Use-case/domain test, including error or invalid state where relevant.</w:t>
            </w:r>
          </w:p>
        </w:tc>
      </w:tr>
      <w:tr>
        <w:tc>
          <w:tcPr>
            <w:tcW w:type="dxa" w:w="5040"/>
            <w:vAlign w:val="top"/>
          </w:tcPr>
          <w:p>
            <w:r/>
            <w:r>
              <w:rPr>
                <w:b w:val="0"/>
                <w:sz w:val="18"/>
              </w:rPr>
              <w:t>Data model</w:t>
            </w:r>
          </w:p>
        </w:tc>
        <w:tc>
          <w:tcPr>
            <w:tcW w:type="dxa" w:w="5040"/>
            <w:vAlign w:val="top"/>
          </w:tcPr>
          <w:p>
            <w:r/>
            <w:r>
              <w:rPr>
                <w:b w:val="0"/>
                <w:sz w:val="18"/>
              </w:rPr>
              <w:t>Schema/migration/repository/lifecycle test and old-record readability when relevant.</w:t>
            </w:r>
          </w:p>
        </w:tc>
      </w:tr>
      <w:tr>
        <w:tc>
          <w:tcPr>
            <w:tcW w:type="dxa" w:w="5040"/>
            <w:vAlign w:val="top"/>
          </w:tcPr>
          <w:p>
            <w:r/>
            <w:r>
              <w:rPr>
                <w:b w:val="0"/>
                <w:sz w:val="18"/>
              </w:rPr>
              <w:t>API or event</w:t>
            </w:r>
          </w:p>
        </w:tc>
        <w:tc>
          <w:tcPr>
            <w:tcW w:type="dxa" w:w="5040"/>
            <w:vAlign w:val="top"/>
          </w:tcPr>
          <w:p>
            <w:r/>
            <w:r>
              <w:rPr>
                <w:b w:val="0"/>
                <w:sz w:val="18"/>
              </w:rPr>
              <w:t>Contract validation, integration test, error envelope, versioning impact.</w:t>
            </w:r>
          </w:p>
        </w:tc>
      </w:tr>
      <w:tr>
        <w:tc>
          <w:tcPr>
            <w:tcW w:type="dxa" w:w="5040"/>
            <w:vAlign w:val="top"/>
          </w:tcPr>
          <w:p>
            <w:r/>
            <w:r>
              <w:rPr>
                <w:b w:val="0"/>
                <w:sz w:val="18"/>
              </w:rPr>
              <w:t>UI workflow</w:t>
            </w:r>
          </w:p>
        </w:tc>
        <w:tc>
          <w:tcPr>
            <w:tcW w:type="dxa" w:w="5040"/>
            <w:vAlign w:val="top"/>
          </w:tcPr>
          <w:p>
            <w:r/>
            <w:r>
              <w:rPr>
                <w:b w:val="0"/>
                <w:sz w:val="18"/>
              </w:rPr>
              <w:t>Component or browser smoke test and manual human-review path.</w:t>
            </w:r>
          </w:p>
        </w:tc>
      </w:tr>
      <w:tr>
        <w:tc>
          <w:tcPr>
            <w:tcW w:type="dxa" w:w="5040"/>
            <w:vAlign w:val="top"/>
          </w:tcPr>
          <w:p>
            <w:r/>
            <w:r>
              <w:rPr>
                <w:b w:val="0"/>
                <w:sz w:val="18"/>
              </w:rPr>
              <w:t>ACL/security</w:t>
            </w:r>
          </w:p>
        </w:tc>
        <w:tc>
          <w:tcPr>
            <w:tcW w:type="dxa" w:w="5040"/>
            <w:vAlign w:val="top"/>
          </w:tcPr>
          <w:p>
            <w:r/>
            <w:r>
              <w:rPr>
                <w:b w:val="0"/>
                <w:sz w:val="18"/>
              </w:rPr>
              <w:t>Positive and negative tests, route classification, audit behavior.</w:t>
            </w:r>
          </w:p>
        </w:tc>
      </w:tr>
      <w:tr>
        <w:tc>
          <w:tcPr>
            <w:tcW w:type="dxa" w:w="5040"/>
            <w:vAlign w:val="top"/>
          </w:tcPr>
          <w:p>
            <w:r/>
            <w:r>
              <w:rPr>
                <w:b w:val="0"/>
                <w:sz w:val="18"/>
              </w:rPr>
              <w:t>Runtime/operations</w:t>
            </w:r>
          </w:p>
        </w:tc>
        <w:tc>
          <w:tcPr>
            <w:tcW w:type="dxa" w:w="5040"/>
            <w:vAlign w:val="top"/>
          </w:tcPr>
          <w:p>
            <w:r/>
            <w:r>
              <w:rPr>
                <w:b w:val="0"/>
                <w:sz w:val="18"/>
              </w:rPr>
              <w:t>Retry/idempotency/locking/failure test where relevant.</w:t>
            </w:r>
          </w:p>
        </w:tc>
      </w:tr>
    </w:tbl>
    <w:p/>
    <w:p>
      <w:pPr>
        <w:pStyle w:val="Heading1"/>
      </w:pPr>
      <w:r>
        <w:t>9. Test Data, Fixtures, and Isolation</w:t>
      </w:r>
    </w:p>
    <w:p>
      <w:r>
        <w:t>Uncontrolled fixtures create false confidence. Test data must be deterministic, isolated, and safe. Production data should not be copied into tests. Multi-tenant or scoped products must include fixtures that prove isolation across at least two tenants, organizations, workspaces, or projects when those boundaries exist.</w:t>
      </w:r>
    </w:p>
    <w:p>
      <w:pPr>
        <w:pStyle w:val="ListBullet"/>
      </w:pPr>
      <w:r>
        <w:t>Use synthetic or redacted data only.</w:t>
      </w:r>
    </w:p>
    <w:p>
      <w:pPr>
        <w:pStyle w:val="ListBullet"/>
      </w:pPr>
      <w:r>
        <w:t>Control clocks, random values, generated IDs, and external responses.</w:t>
      </w:r>
    </w:p>
    <w:p>
      <w:pPr>
        <w:pStyle w:val="ListBullet"/>
      </w:pPr>
      <w:r>
        <w:t>Reset database/storage state between tests or use isolated test stores.</w:t>
      </w:r>
    </w:p>
    <w:p>
      <w:pPr>
        <w:pStyle w:val="ListBullet"/>
      </w:pPr>
      <w:r>
        <w:t>Include malformed, boundary, and empty cases for imports and APIs.</w:t>
      </w:r>
    </w:p>
    <w:p>
      <w:pPr>
        <w:pStyle w:val="ListBullet"/>
      </w:pPr>
      <w:r>
        <w:t>Make fixture intent obvious through naming and documentation.</w:t>
      </w:r>
    </w:p>
    <w:p>
      <w:pPr>
        <w:pStyle w:val="Heading1"/>
      </w:pPr>
      <w:r>
        <w:t>10. Quality Gates and Acceptance</w:t>
      </w:r>
    </w:p>
    <w:p>
      <w:r>
        <w:t>Quality gates should be proportional to risk, but every implementation pass must identify which gates apply. The absence of a gate must be explicit, not accidental.</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Gate</w:t>
            </w:r>
          </w:p>
        </w:tc>
        <w:tc>
          <w:tcPr>
            <w:tcW w:type="dxa" w:w="5040"/>
            <w:shd w:fill="D9EAF7"/>
            <w:vAlign w:val="center"/>
          </w:tcPr>
          <w:p>
            <w:r/>
            <w:r>
              <w:rPr>
                <w:b/>
                <w:sz w:val="18"/>
              </w:rPr>
              <w:t>Acceptance requirement</w:t>
            </w:r>
          </w:p>
        </w:tc>
      </w:tr>
      <w:tr>
        <w:tc>
          <w:tcPr>
            <w:tcW w:type="dxa" w:w="5040"/>
            <w:vAlign w:val="top"/>
          </w:tcPr>
          <w:p>
            <w:r/>
            <w:r>
              <w:rPr>
                <w:b w:val="0"/>
                <w:sz w:val="18"/>
              </w:rPr>
              <w:t>Build</w:t>
            </w:r>
          </w:p>
        </w:tc>
        <w:tc>
          <w:tcPr>
            <w:tcW w:type="dxa" w:w="5040"/>
            <w:vAlign w:val="top"/>
          </w:tcPr>
          <w:p>
            <w:r/>
            <w:r>
              <w:rPr>
                <w:b w:val="0"/>
                <w:sz w:val="18"/>
              </w:rPr>
              <w:t>Project installs, boots, or runs using documented commands.</w:t>
            </w:r>
          </w:p>
        </w:tc>
      </w:tr>
      <w:tr>
        <w:tc>
          <w:tcPr>
            <w:tcW w:type="dxa" w:w="5040"/>
            <w:vAlign w:val="top"/>
          </w:tcPr>
          <w:p>
            <w:r/>
            <w:r>
              <w:rPr>
                <w:b w:val="0"/>
                <w:sz w:val="18"/>
              </w:rPr>
              <w:t>Unit/domain</w:t>
            </w:r>
          </w:p>
        </w:tc>
        <w:tc>
          <w:tcPr>
            <w:tcW w:type="dxa" w:w="5040"/>
            <w:vAlign w:val="top"/>
          </w:tcPr>
          <w:p>
            <w:r/>
            <w:r>
              <w:rPr>
                <w:b w:val="0"/>
                <w:sz w:val="18"/>
              </w:rPr>
              <w:t>Changed business logic is covered by focused tests.</w:t>
            </w:r>
          </w:p>
        </w:tc>
      </w:tr>
      <w:tr>
        <w:tc>
          <w:tcPr>
            <w:tcW w:type="dxa" w:w="5040"/>
            <w:vAlign w:val="top"/>
          </w:tcPr>
          <w:p>
            <w:r/>
            <w:r>
              <w:rPr>
                <w:b w:val="0"/>
                <w:sz w:val="18"/>
              </w:rPr>
              <w:t>Data</w:t>
            </w:r>
          </w:p>
        </w:tc>
        <w:tc>
          <w:tcPr>
            <w:tcW w:type="dxa" w:w="5040"/>
            <w:vAlign w:val="top"/>
          </w:tcPr>
          <w:p>
            <w:r/>
            <w:r>
              <w:rPr>
                <w:b w:val="0"/>
                <w:sz w:val="18"/>
              </w:rPr>
              <w:t>Schema, migration, import/export, lifecycle, and tenancy changes are validated.</w:t>
            </w:r>
          </w:p>
        </w:tc>
      </w:tr>
      <w:tr>
        <w:tc>
          <w:tcPr>
            <w:tcW w:type="dxa" w:w="5040"/>
            <w:vAlign w:val="top"/>
          </w:tcPr>
          <w:p>
            <w:r/>
            <w:r>
              <w:rPr>
                <w:b w:val="0"/>
                <w:sz w:val="18"/>
              </w:rPr>
              <w:t>API</w:t>
            </w:r>
          </w:p>
        </w:tc>
        <w:tc>
          <w:tcPr>
            <w:tcW w:type="dxa" w:w="5040"/>
            <w:vAlign w:val="top"/>
          </w:tcPr>
          <w:p>
            <w:r/>
            <w:r>
              <w:rPr>
                <w:b w:val="0"/>
                <w:sz w:val="18"/>
              </w:rPr>
              <w:t>Contracts are updated and validated when behavior changes.</w:t>
            </w:r>
          </w:p>
        </w:tc>
      </w:tr>
      <w:tr>
        <w:tc>
          <w:tcPr>
            <w:tcW w:type="dxa" w:w="5040"/>
            <w:vAlign w:val="top"/>
          </w:tcPr>
          <w:p>
            <w:r/>
            <w:r>
              <w:rPr>
                <w:b w:val="0"/>
                <w:sz w:val="18"/>
              </w:rPr>
              <w:t>UI</w:t>
            </w:r>
          </w:p>
        </w:tc>
        <w:tc>
          <w:tcPr>
            <w:tcW w:type="dxa" w:w="5040"/>
            <w:vAlign w:val="top"/>
          </w:tcPr>
          <w:p>
            <w:r/>
            <w:r>
              <w:rPr>
                <w:b w:val="0"/>
                <w:sz w:val="18"/>
              </w:rPr>
              <w:t>User-facing changes are smoke-tested through an actual screen or component demo.</w:t>
            </w:r>
          </w:p>
        </w:tc>
      </w:tr>
      <w:tr>
        <w:tc>
          <w:tcPr>
            <w:tcW w:type="dxa" w:w="5040"/>
            <w:vAlign w:val="top"/>
          </w:tcPr>
          <w:p>
            <w:r/>
            <w:r>
              <w:rPr>
                <w:b w:val="0"/>
                <w:sz w:val="18"/>
              </w:rPr>
              <w:t>ACL</w:t>
            </w:r>
          </w:p>
        </w:tc>
        <w:tc>
          <w:tcPr>
            <w:tcW w:type="dxa" w:w="5040"/>
            <w:vAlign w:val="top"/>
          </w:tcPr>
          <w:p>
            <w:r/>
            <w:r>
              <w:rPr>
                <w:b w:val="0"/>
                <w:sz w:val="18"/>
              </w:rPr>
              <w:t>Allowed and denied cases are tested for protected behavior.</w:t>
            </w:r>
          </w:p>
        </w:tc>
      </w:tr>
      <w:tr>
        <w:tc>
          <w:tcPr>
            <w:tcW w:type="dxa" w:w="5040"/>
            <w:vAlign w:val="top"/>
          </w:tcPr>
          <w:p>
            <w:r/>
            <w:r>
              <w:rPr>
                <w:b w:val="0"/>
                <w:sz w:val="18"/>
              </w:rPr>
              <w:t>Runtime</w:t>
            </w:r>
          </w:p>
        </w:tc>
        <w:tc>
          <w:tcPr>
            <w:tcW w:type="dxa" w:w="5040"/>
            <w:vAlign w:val="top"/>
          </w:tcPr>
          <w:p>
            <w:r/>
            <w:r>
              <w:rPr>
                <w:b w:val="0"/>
                <w:sz w:val="18"/>
              </w:rPr>
              <w:t>Retry, lock, schedule, idempotency, and failure paths are tested where affected.</w:t>
            </w:r>
          </w:p>
        </w:tc>
      </w:tr>
      <w:tr>
        <w:tc>
          <w:tcPr>
            <w:tcW w:type="dxa" w:w="5040"/>
            <w:vAlign w:val="top"/>
          </w:tcPr>
          <w:p>
            <w:r/>
            <w:r>
              <w:rPr>
                <w:b w:val="0"/>
                <w:sz w:val="18"/>
              </w:rPr>
              <w:t>Regression</w:t>
            </w:r>
          </w:p>
        </w:tc>
        <w:tc>
          <w:tcPr>
            <w:tcW w:type="dxa" w:w="5040"/>
            <w:vAlign w:val="top"/>
          </w:tcPr>
          <w:p>
            <w:r/>
            <w:r>
              <w:rPr>
                <w:b w:val="0"/>
                <w:sz w:val="18"/>
              </w:rPr>
              <w:t>Fixed defects have regression protection or manual regression entry.</w:t>
            </w:r>
          </w:p>
        </w:tc>
      </w:tr>
      <w:tr>
        <w:tc>
          <w:tcPr>
            <w:tcW w:type="dxa" w:w="5040"/>
            <w:vAlign w:val="top"/>
          </w:tcPr>
          <w:p>
            <w:r/>
            <w:r>
              <w:rPr>
                <w:b w:val="0"/>
                <w:sz w:val="18"/>
              </w:rPr>
              <w:t>Documentation</w:t>
            </w:r>
          </w:p>
        </w:tc>
        <w:tc>
          <w:tcPr>
            <w:tcW w:type="dxa" w:w="5040"/>
            <w:vAlign w:val="top"/>
          </w:tcPr>
          <w:p>
            <w:r/>
            <w:r>
              <w:rPr>
                <w:b w:val="0"/>
                <w:sz w:val="18"/>
              </w:rPr>
              <w:t>Inventories, matrices, adapter, smoke checklist, and review notes are current.</w:t>
            </w:r>
          </w:p>
        </w:tc>
      </w:tr>
    </w:tbl>
    <w:p/>
    <w:p>
      <w:pPr>
        <w:pStyle w:val="Heading1"/>
      </w:pPr>
      <w:r>
        <w:t>11. AI Coding Agent Rules</w:t>
      </w:r>
    </w:p>
    <w:p>
      <w:r>
        <w:t>AI Coding Agents must not use tests as a rhetorical claim. They must provide concrete commands, results, files changed, manual smoke path, and deferred risk. If tests were not run, the agent must state that directly.</w:t>
      </w:r>
    </w:p>
    <w:p>
      <w:pPr>
        <w:pStyle w:val="ListBullet"/>
      </w:pPr>
      <w:r>
        <w:t>Do not say tests passed unless tests were actually executed.</w:t>
      </w:r>
    </w:p>
    <w:p>
      <w:pPr>
        <w:pStyle w:val="ListBullet"/>
      </w:pPr>
      <w:r>
        <w:t>Do not delete existing tests unless replacement coverage exists or the test is explicitly obsolete.</w:t>
      </w:r>
    </w:p>
    <w:p>
      <w:pPr>
        <w:pStyle w:val="ListBullet"/>
      </w:pPr>
      <w:r>
        <w:t>Do not introduce a new test framework without documenting reason and impact.</w:t>
      </w:r>
    </w:p>
    <w:p>
      <w:pPr>
        <w:pStyle w:val="ListBullet"/>
      </w:pPr>
      <w:r>
        <w:t>Do not create brittle tests coupled to incidental implementation details when behavior-level tests are possible.</w:t>
      </w:r>
    </w:p>
    <w:p>
      <w:pPr>
        <w:pStyle w:val="ListBullet"/>
      </w:pPr>
      <w:r>
        <w:t>Do not refactor fragile existing behavior without characterization coverage or a documented risk decision.</w:t>
      </w:r>
    </w:p>
    <w:p>
      <w:pPr>
        <w:pStyle w:val="Heading1"/>
      </w:pPr>
      <w:r>
        <w:t>12. Required Repository Files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
              <w:rPr>
                <w:b/>
                <w:sz w:val="18"/>
              </w:rPr>
              <w:t>File</w:t>
            </w:r>
          </w:p>
        </w:tc>
        <w:tc>
          <w:tcPr>
            <w:tcW w:type="dxa" w:w="5040"/>
            <w:shd w:fill="D9EAF7"/>
            <w:vAlign w:val="center"/>
          </w:tcPr>
          <w:p>
            <w:r/>
            <w:r>
              <w:rPr>
                <w:b/>
                <w:sz w:val="18"/>
              </w:rPr>
              <w:t>Purpose</w:t>
            </w:r>
          </w:p>
        </w:tc>
      </w:tr>
      <w:tr>
        <w:tc>
          <w:tcPr>
            <w:tcW w:type="dxa" w:w="5040"/>
            <w:vAlign w:val="top"/>
          </w:tcPr>
          <w:p>
            <w:r/>
            <w:r>
              <w:rPr>
                <w:b w:val="0"/>
                <w:sz w:val="18"/>
              </w:rPr>
              <w:t>testing-foundation-reference.md</w:t>
            </w:r>
          </w:p>
        </w:tc>
        <w:tc>
          <w:tcPr>
            <w:tcW w:type="dxa" w:w="5040"/>
            <w:vAlign w:val="top"/>
          </w:tcPr>
          <w:p>
            <w:r/>
            <w:r>
              <w:rPr>
                <w:b w:val="0"/>
                <w:sz w:val="18"/>
              </w:rPr>
              <w:t>Repository-facing quality standard for AI agents and reviewers.</w:t>
            </w:r>
          </w:p>
        </w:tc>
      </w:tr>
      <w:tr>
        <w:tc>
          <w:tcPr>
            <w:tcW w:type="dxa" w:w="5040"/>
            <w:vAlign w:val="top"/>
          </w:tcPr>
          <w:p>
            <w:r/>
            <w:r>
              <w:rPr>
                <w:b w:val="0"/>
                <w:sz w:val="18"/>
              </w:rPr>
              <w:t>testing-adapter.md</w:t>
            </w:r>
          </w:p>
        </w:tc>
        <w:tc>
          <w:tcPr>
            <w:tcW w:type="dxa" w:w="5040"/>
            <w:vAlign w:val="top"/>
          </w:tcPr>
          <w:p>
            <w:r/>
            <w:r>
              <w:rPr>
                <w:b w:val="0"/>
                <w:sz w:val="18"/>
              </w:rPr>
              <w:t>Project-specific mapping to tools, commands, fixtures, and conventions.</w:t>
            </w:r>
          </w:p>
        </w:tc>
      </w:tr>
      <w:tr>
        <w:tc>
          <w:tcPr>
            <w:tcW w:type="dxa" w:w="5040"/>
            <w:vAlign w:val="top"/>
          </w:tcPr>
          <w:p>
            <w:r/>
            <w:r>
              <w:rPr>
                <w:b w:val="0"/>
                <w:sz w:val="18"/>
              </w:rPr>
              <w:t>testing-test-inventory.md</w:t>
            </w:r>
          </w:p>
        </w:tc>
        <w:tc>
          <w:tcPr>
            <w:tcW w:type="dxa" w:w="5040"/>
            <w:vAlign w:val="top"/>
          </w:tcPr>
          <w:p>
            <w:r/>
            <w:r>
              <w:rPr>
                <w:b w:val="0"/>
                <w:sz w:val="18"/>
              </w:rPr>
              <w:t>Catalog of existing tests and status.</w:t>
            </w:r>
          </w:p>
        </w:tc>
      </w:tr>
      <w:tr>
        <w:tc>
          <w:tcPr>
            <w:tcW w:type="dxa" w:w="5040"/>
            <w:vAlign w:val="top"/>
          </w:tcPr>
          <w:p>
            <w:r/>
            <w:r>
              <w:rPr>
                <w:b w:val="0"/>
                <w:sz w:val="18"/>
              </w:rPr>
              <w:t>testing-coverage-matrix.md</w:t>
            </w:r>
          </w:p>
        </w:tc>
        <w:tc>
          <w:tcPr>
            <w:tcW w:type="dxa" w:w="5040"/>
            <w:vAlign w:val="top"/>
          </w:tcPr>
          <w:p>
            <w:r/>
            <w:r>
              <w:rPr>
                <w:b w:val="0"/>
                <w:sz w:val="18"/>
              </w:rPr>
              <w:t>Vertical-slice feature-to-test coverage map.</w:t>
            </w:r>
          </w:p>
        </w:tc>
      </w:tr>
      <w:tr>
        <w:tc>
          <w:tcPr>
            <w:tcW w:type="dxa" w:w="5040"/>
            <w:vAlign w:val="top"/>
          </w:tcPr>
          <w:p>
            <w:r/>
            <w:r>
              <w:rPr>
                <w:b w:val="0"/>
                <w:sz w:val="18"/>
              </w:rPr>
              <w:t>testing-smoke-checklist.md</w:t>
            </w:r>
          </w:p>
        </w:tc>
        <w:tc>
          <w:tcPr>
            <w:tcW w:type="dxa" w:w="5040"/>
            <w:vAlign w:val="top"/>
          </w:tcPr>
          <w:p>
            <w:r/>
            <w:r>
              <w:rPr>
                <w:b w:val="0"/>
                <w:sz w:val="18"/>
              </w:rPr>
              <w:t>Fast local/manual checks for human and agent review.</w:t>
            </w:r>
          </w:p>
        </w:tc>
      </w:tr>
      <w:tr>
        <w:tc>
          <w:tcPr>
            <w:tcW w:type="dxa" w:w="5040"/>
            <w:vAlign w:val="top"/>
          </w:tcPr>
          <w:p>
            <w:r/>
            <w:r>
              <w:rPr>
                <w:b w:val="0"/>
                <w:sz w:val="18"/>
              </w:rPr>
              <w:t>testing-regression-matrix.md</w:t>
            </w:r>
          </w:p>
        </w:tc>
        <w:tc>
          <w:tcPr>
            <w:tcW w:type="dxa" w:w="5040"/>
            <w:vAlign w:val="top"/>
          </w:tcPr>
          <w:p>
            <w:r/>
            <w:r>
              <w:rPr>
                <w:b w:val="0"/>
                <w:sz w:val="18"/>
              </w:rPr>
              <w:t>Known bug/fragile-flow regression coverage.</w:t>
            </w:r>
          </w:p>
        </w:tc>
      </w:tr>
      <w:tr>
        <w:tc>
          <w:tcPr>
            <w:tcW w:type="dxa" w:w="5040"/>
            <w:vAlign w:val="top"/>
          </w:tcPr>
          <w:p>
            <w:r/>
            <w:r>
              <w:rPr>
                <w:b w:val="0"/>
                <w:sz w:val="18"/>
              </w:rPr>
              <w:t>testing-defect-log.md</w:t>
            </w:r>
          </w:p>
        </w:tc>
        <w:tc>
          <w:tcPr>
            <w:tcW w:type="dxa" w:w="5040"/>
            <w:vAlign w:val="top"/>
          </w:tcPr>
          <w:p>
            <w:r/>
            <w:r>
              <w:rPr>
                <w:b w:val="0"/>
                <w:sz w:val="18"/>
              </w:rPr>
              <w:t>Quality defect tracking.</w:t>
            </w:r>
          </w:p>
        </w:tc>
      </w:tr>
      <w:tr>
        <w:tc>
          <w:tcPr>
            <w:tcW w:type="dxa" w:w="5040"/>
            <w:vAlign w:val="top"/>
          </w:tcPr>
          <w:p>
            <w:r/>
            <w:r>
              <w:rPr>
                <w:b w:val="0"/>
                <w:sz w:val="18"/>
              </w:rPr>
              <w:t>testing-review-checklist.md</w:t>
            </w:r>
          </w:p>
        </w:tc>
        <w:tc>
          <w:tcPr>
            <w:tcW w:type="dxa" w:w="5040"/>
            <w:vAlign w:val="top"/>
          </w:tcPr>
          <w:p>
            <w:r/>
            <w:r>
              <w:rPr>
                <w:b w:val="0"/>
                <w:sz w:val="18"/>
              </w:rPr>
              <w:t>Reviewer acceptance checklist.</w:t>
            </w:r>
          </w:p>
        </w:tc>
      </w:tr>
    </w:tbl>
    <w:p/>
    <w:p>
      <w:pPr>
        <w:pStyle w:val="Heading1"/>
      </w:pPr>
      <w:r>
        <w:t>13. Conclusion</w:t>
      </w:r>
    </w:p>
    <w:p>
      <w:r>
        <w:t>The Testing / Quality Foundation converts AI-assisted implementation from code generation into controlled product construction. It keeps the human architect in the loop by requiring reviewable vertical slices, concrete validation, manual smoke paths, and explicit risk reporting. It is deliberately stack-agnostic so it can serve shared-hosting applications, open-source tools, self-hosted systems, internal platforms, and scalable SaaS products without forcing a single testing technology.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