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UNIVERSAL APPLICATION CORE / DOMAIN FOUNDATION</w:t>
      </w:r>
    </w:p>
    <w:p>
      <w:pPr>
        <w:jc w:val="center"/>
      </w:pPr>
      <w:r>
        <w:rPr>
          <w:i/>
          <w:sz w:val="28"/>
        </w:rPr>
        <w:t>Human and AI Implementation Manual</w:t>
      </w:r>
    </w:p>
    <w:p>
      <w:pPr>
        <w:jc w:val="center"/>
      </w:pPr>
      <w:r>
        <w:rPr>
          <w:sz w:val="20"/>
        </w:rPr>
        <w:t>Version 1.0-Universal | New and Existing Project Edition</w:t>
      </w:r>
    </w:p>
    <w:p/>
    <w:p/>
    <w:tbl>
      <w:tblPr>
        <w:tblStyle w:val="TableGrid"/>
        <w:tblW w:type="auto" w:w="0"/>
        <w:tblLook w:firstColumn="1" w:firstRow="1" w:lastColumn="0" w:lastRow="0" w:noHBand="0" w:noVBand="1" w:val="04A0"/>
      </w:tblPr>
      <w:tblGrid>
        <w:gridCol w:w="10166"/>
      </w:tblGrid>
      <w:tr>
        <w:tc>
          <w:tcPr>
            <w:tcW w:type="dxa" w:w="10166"/>
            <w:shd w:fill="EAF3F8"/>
          </w:tcPr>
          <w:p>
            <w:r/>
            <w:r>
              <w:rPr>
                <w:b/>
              </w:rPr>
              <w:t xml:space="preserve">Purpose. </w:t>
            </w:r>
            <w:r>
              <w:t>This manual defines a reusable Application Core / Domain Foundation for AI-assisted software development. It explains how business logic, domain modules, use cases, commands, queries, workflows, domain events, validation, result handling, ports, adapters, and vertical feature slices must be designed in technology-agnostic form for both new and existing projects.</w:t>
            </w:r>
          </w:p>
        </w:tc>
      </w:tr>
    </w:tbl>
    <w:p>
      <w:r>
        <w:br w:type="page"/>
      </w:r>
    </w:p>
    <w:p>
      <w:pPr>
        <w:pStyle w:val="Heading1"/>
      </w:pPr>
      <w:r>
        <w:t>1. Executive Summary</w:t>
      </w:r>
    </w:p>
    <w:p>
      <w:r>
        <w:t>The Application Core / Domain Foundation is the missing center between UI, Data, API, and Access Control. UI defines how users interact with the system. Data defines how state is modeled and persisted. API defines how behavior and data cross boundaries. Access Control defines who may act. The Application Core defines what the product actually does and where its business logic belongs.</w:t>
      </w:r>
    </w:p>
    <w:p>
      <w:r>
        <w:t>This foundation is intentionally technology-agnostic. It does not require a specific framework, database, hosting model, message broker, or UI stack. It requires the application to separate business behavior from delivery mechanisms so the same core can be reached through a web UI, REST API, event consumer, CLI command, background job, or test harness without duplicating business rules.</w:t>
      </w:r>
    </w:p>
    <w:p>
      <w:r>
        <w:t>The principal problem this foundation solves is AI-generated architectural drift. AI coding agents frequently place business logic wherever the current task appears: controllers, routes, UI event handlers, ORM models, templates, migrations, workers, or helper files. That creates systems that work briefly but become difficult to test, refactor, secure, and scale. This foundation establishes explicit placement rules and refactoring discipline.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vAlign w:val="center"/>
          </w:tcPr>
          <w:p>
            <w:r/>
            <w:r>
              <w:rPr>
                <w:b/>
                <w:sz w:val="17"/>
              </w:rPr>
              <w:t>Layer</w:t>
            </w:r>
          </w:p>
        </w:tc>
        <w:tc>
          <w:tcPr>
            <w:tcW w:type="dxa" w:w="3389"/>
            <w:shd w:fill="D9EAF7"/>
            <w:vAlign w:val="center"/>
          </w:tcPr>
          <w:p>
            <w:r/>
            <w:r>
              <w:rPr>
                <w:b/>
                <w:sz w:val="17"/>
              </w:rPr>
              <w:t>Primary Question</w:t>
            </w:r>
          </w:p>
        </w:tc>
        <w:tc>
          <w:tcPr>
            <w:tcW w:type="dxa" w:w="3389"/>
            <w:shd w:fill="D9EAF7"/>
            <w:vAlign w:val="center"/>
          </w:tcPr>
          <w:p>
            <w:r/>
            <w:r>
              <w:rPr>
                <w:b/>
                <w:sz w:val="17"/>
              </w:rPr>
              <w:t>Ownership</w:t>
            </w:r>
          </w:p>
        </w:tc>
      </w:tr>
      <w:tr>
        <w:tc>
          <w:tcPr>
            <w:tcW w:type="dxa" w:w="3389"/>
            <w:vAlign w:val="top"/>
          </w:tcPr>
          <w:p>
            <w:r/>
            <w:r>
              <w:rPr>
                <w:b w:val="0"/>
                <w:sz w:val="17"/>
              </w:rPr>
              <w:t>Application Core</w:t>
            </w:r>
          </w:p>
        </w:tc>
        <w:tc>
          <w:tcPr>
            <w:tcW w:type="dxa" w:w="3389"/>
            <w:vAlign w:val="top"/>
          </w:tcPr>
          <w:p>
            <w:r/>
            <w:r>
              <w:rPr>
                <w:b w:val="0"/>
                <w:sz w:val="17"/>
              </w:rPr>
              <w:t>What is the business behavior?</w:t>
            </w:r>
          </w:p>
        </w:tc>
        <w:tc>
          <w:tcPr>
            <w:tcW w:type="dxa" w:w="3389"/>
            <w:vAlign w:val="top"/>
          </w:tcPr>
          <w:p>
            <w:r/>
            <w:r>
              <w:rPr>
                <w:b w:val="0"/>
                <w:sz w:val="17"/>
              </w:rPr>
              <w:t>Use cases, workflows, rules, events, commands, queries, domain entities, results.</w:t>
            </w:r>
          </w:p>
        </w:tc>
      </w:tr>
      <w:tr>
        <w:tc>
          <w:tcPr>
            <w:tcW w:type="dxa" w:w="3389"/>
            <w:vAlign w:val="top"/>
          </w:tcPr>
          <w:p>
            <w:r/>
            <w:r>
              <w:rPr>
                <w:b w:val="0"/>
                <w:sz w:val="17"/>
              </w:rPr>
              <w:t>Data</w:t>
            </w:r>
          </w:p>
        </w:tc>
        <w:tc>
          <w:tcPr>
            <w:tcW w:type="dxa" w:w="3389"/>
            <w:vAlign w:val="top"/>
          </w:tcPr>
          <w:p>
            <w:r/>
            <w:r>
              <w:rPr>
                <w:b w:val="0"/>
                <w:sz w:val="17"/>
              </w:rPr>
              <w:t>How is state modeled, stored, evolved, and retained?</w:t>
            </w:r>
          </w:p>
        </w:tc>
        <w:tc>
          <w:tcPr>
            <w:tcW w:type="dxa" w:w="3389"/>
            <w:vAlign w:val="top"/>
          </w:tcPr>
          <w:p>
            <w:r/>
            <w:r>
              <w:rPr>
                <w:b w:val="0"/>
                <w:sz w:val="17"/>
              </w:rPr>
              <w:t>Schemas, records of truth, repositories, datasets, migrations, lifecycle.</w:t>
            </w:r>
          </w:p>
        </w:tc>
      </w:tr>
      <w:tr>
        <w:tc>
          <w:tcPr>
            <w:tcW w:type="dxa" w:w="3389"/>
            <w:vAlign w:val="top"/>
          </w:tcPr>
          <w:p>
            <w:r/>
            <w:r>
              <w:rPr>
                <w:b w:val="0"/>
                <w:sz w:val="17"/>
              </w:rPr>
              <w:t>API</w:t>
            </w:r>
          </w:p>
        </w:tc>
        <w:tc>
          <w:tcPr>
            <w:tcW w:type="dxa" w:w="3389"/>
            <w:vAlign w:val="top"/>
          </w:tcPr>
          <w:p>
            <w:r/>
            <w:r>
              <w:rPr>
                <w:b w:val="0"/>
                <w:sz w:val="17"/>
              </w:rPr>
              <w:t>How does behavior cross boundaries?</w:t>
            </w:r>
          </w:p>
        </w:tc>
        <w:tc>
          <w:tcPr>
            <w:tcW w:type="dxa" w:w="3389"/>
            <w:vAlign w:val="top"/>
          </w:tcPr>
          <w:p>
            <w:r/>
            <w:r>
              <w:rPr>
                <w:b w:val="0"/>
                <w:sz w:val="17"/>
              </w:rPr>
              <w:t>OpenAPI/AsyncAPI, endpoints, events, DTOs, webhooks, contracts.</w:t>
            </w:r>
          </w:p>
        </w:tc>
      </w:tr>
      <w:tr>
        <w:tc>
          <w:tcPr>
            <w:tcW w:type="dxa" w:w="3389"/>
            <w:vAlign w:val="top"/>
          </w:tcPr>
          <w:p>
            <w:r/>
            <w:r>
              <w:rPr>
                <w:b w:val="0"/>
                <w:sz w:val="17"/>
              </w:rPr>
              <w:t>UI</w:t>
            </w:r>
          </w:p>
        </w:tc>
        <w:tc>
          <w:tcPr>
            <w:tcW w:type="dxa" w:w="3389"/>
            <w:vAlign w:val="top"/>
          </w:tcPr>
          <w:p>
            <w:r/>
            <w:r>
              <w:rPr>
                <w:b w:val="0"/>
                <w:sz w:val="17"/>
              </w:rPr>
              <w:t>How does the human use and inspect the feature?</w:t>
            </w:r>
          </w:p>
        </w:tc>
        <w:tc>
          <w:tcPr>
            <w:tcW w:type="dxa" w:w="3389"/>
            <w:vAlign w:val="top"/>
          </w:tcPr>
          <w:p>
            <w:r/>
            <w:r>
              <w:rPr>
                <w:b w:val="0"/>
                <w:sz w:val="17"/>
              </w:rPr>
              <w:t>Screens, components, flows, validation feedback, review surfaces.</w:t>
            </w:r>
          </w:p>
        </w:tc>
      </w:tr>
      <w:tr>
        <w:tc>
          <w:tcPr>
            <w:tcW w:type="dxa" w:w="3389"/>
            <w:vAlign w:val="top"/>
          </w:tcPr>
          <w:p>
            <w:r/>
            <w:r>
              <w:rPr>
                <w:b w:val="0"/>
                <w:sz w:val="17"/>
              </w:rPr>
              <w:t>ACL</w:t>
            </w:r>
          </w:p>
        </w:tc>
        <w:tc>
          <w:tcPr>
            <w:tcW w:type="dxa" w:w="3389"/>
            <w:vAlign w:val="top"/>
          </w:tcPr>
          <w:p>
            <w:r/>
            <w:r>
              <w:rPr>
                <w:b w:val="0"/>
                <w:sz w:val="17"/>
              </w:rPr>
              <w:t>Who may perform the action and within what scope?</w:t>
            </w:r>
          </w:p>
        </w:tc>
        <w:tc>
          <w:tcPr>
            <w:tcW w:type="dxa" w:w="3389"/>
            <w:vAlign w:val="top"/>
          </w:tcPr>
          <w:p>
            <w:r/>
            <w:r>
              <w:rPr>
                <w:b w:val="0"/>
                <w:sz w:val="17"/>
              </w:rPr>
              <w:t>Roles, permissions, policies, scopes, route classification.</w:t>
            </w:r>
          </w:p>
        </w:tc>
      </w:tr>
    </w:tbl>
    <w:p/>
    <w:p>
      <w:pPr>
        <w:pStyle w:val="Heading1"/>
      </w:pPr>
      <w:r>
        <w:t>2. Development Doctrine Alignment</w:t>
      </w:r>
    </w:p>
    <w:p>
      <w:r>
        <w:t>This foundation assumes the project is not built database-first, backend-first, API-first, or UI-last. The required model is product-to-architecture-to-code, with features delivered as reviewable vertical slices. A serious application must include, at minimum, Core + Data + API + UI. ACL and Security join the minimum whenever the feature is exposed, privileged, multi-user, tenant-aware, public, or admin-facing.</w:t>
      </w:r>
    </w:p>
    <w:p>
      <w:pPr>
        <w:pStyle w:val="ListNumber"/>
      </w:pPr>
      <w:r>
        <w:t>Brainstorm the product and clarify users, workflows, outcomes, and business value.</w:t>
      </w:r>
    </w:p>
    <w:p>
      <w:pPr>
        <w:pStyle w:val="ListNumber"/>
      </w:pPr>
      <w:r>
        <w:t>Dissect the product into features, modules, screens, data entities, APIs, and operational behaviors.</w:t>
      </w:r>
    </w:p>
    <w:p>
      <w:pPr>
        <w:pStyle w:val="ListNumber"/>
      </w:pPr>
      <w:r>
        <w:t>Research market and competitor capabilities when required for product positioning.</w:t>
      </w:r>
    </w:p>
    <w:p>
      <w:pPr>
        <w:pStyle w:val="ListNumber"/>
      </w:pPr>
      <w:r>
        <w:t>Cross-reference differentiation and business value before choosing implementation details.</w:t>
      </w:r>
    </w:p>
    <w:p>
      <w:pPr>
        <w:pStyle w:val="ListNumber"/>
      </w:pPr>
      <w:r>
        <w:t>Translate product value into architecture: Core, Data, API, UI, ACL/Security, Runtime, and Tests.</w:t>
      </w:r>
    </w:p>
    <w:p>
      <w:pPr>
        <w:pStyle w:val="ListNumber"/>
      </w:pPr>
      <w:r>
        <w:t>Select the technology stack only after the product and architecture needs are understood.</w:t>
      </w:r>
    </w:p>
    <w:p>
      <w:pPr>
        <w:pStyle w:val="ListNumber"/>
      </w:pPr>
      <w:r>
        <w:t>Adapt the codebase skeleton, repository structure, AGENTS.md, and foundation references.</w:t>
      </w:r>
    </w:p>
    <w:p>
      <w:pPr>
        <w:pStyle w:val="ListNumber"/>
      </w:pPr>
      <w:r>
        <w:t>Build the UI foundation early enough for human architectural review.</w:t>
      </w:r>
    </w:p>
    <w:p>
      <w:pPr>
        <w:pStyle w:val="ListNumber"/>
      </w:pPr>
      <w:r>
        <w:t>Deliver features as vertical slices across Core + Data + API + Test + UI where practical.</w:t>
      </w:r>
    </w:p>
    <w:p>
      <w:pPr>
        <w:pStyle w:val="Heading1"/>
      </w:pPr>
      <w:r>
        <w:t>3. What Belongs in the Application Core</w:t>
      </w:r>
    </w:p>
    <w:p>
      <w:r>
        <w:t>The Application Core contains business behavior that should remain meaningful even if the transport, UI, database, hosting environment, or framework changes. The core is where the product expresses its actual rules, states, transitions, workflows, and decisions.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vAlign w:val="center"/>
          </w:tcPr>
          <w:p>
            <w:r/>
            <w:r>
              <w:rPr>
                <w:b/>
                <w:sz w:val="17"/>
              </w:rPr>
              <w:t>Core Element</w:t>
            </w:r>
          </w:p>
        </w:tc>
        <w:tc>
          <w:tcPr>
            <w:tcW w:type="dxa" w:w="3389"/>
            <w:shd w:fill="D9EAF7"/>
            <w:vAlign w:val="center"/>
          </w:tcPr>
          <w:p>
            <w:r/>
            <w:r>
              <w:rPr>
                <w:b/>
                <w:sz w:val="17"/>
              </w:rPr>
              <w:t>Purpose</w:t>
            </w:r>
          </w:p>
        </w:tc>
        <w:tc>
          <w:tcPr>
            <w:tcW w:type="dxa" w:w="3389"/>
            <w:shd w:fill="D9EAF7"/>
            <w:vAlign w:val="center"/>
          </w:tcPr>
          <w:p>
            <w:r/>
            <w:r>
              <w:rPr>
                <w:b/>
                <w:sz w:val="17"/>
              </w:rPr>
              <w:t>Examples</w:t>
            </w:r>
          </w:p>
        </w:tc>
      </w:tr>
      <w:tr>
        <w:tc>
          <w:tcPr>
            <w:tcW w:type="dxa" w:w="3389"/>
            <w:vAlign w:val="top"/>
          </w:tcPr>
          <w:p>
            <w:r/>
            <w:r>
              <w:rPr>
                <w:b w:val="0"/>
                <w:sz w:val="17"/>
              </w:rPr>
              <w:t>Domain Module</w:t>
            </w:r>
          </w:p>
        </w:tc>
        <w:tc>
          <w:tcPr>
            <w:tcW w:type="dxa" w:w="3389"/>
            <w:vAlign w:val="top"/>
          </w:tcPr>
          <w:p>
            <w:r/>
            <w:r>
              <w:rPr>
                <w:b w:val="0"/>
                <w:sz w:val="17"/>
              </w:rPr>
              <w:t>A bounded area of business capability.</w:t>
            </w:r>
          </w:p>
        </w:tc>
        <w:tc>
          <w:tcPr>
            <w:tcW w:type="dxa" w:w="3389"/>
            <w:vAlign w:val="top"/>
          </w:tcPr>
          <w:p>
            <w:r/>
            <w:r>
              <w:rPr>
                <w:b w:val="0"/>
                <w:sz w:val="17"/>
              </w:rPr>
              <w:t>Projects, Billing, Content, Identity, Inventory, Inspections.</w:t>
            </w:r>
          </w:p>
        </w:tc>
      </w:tr>
      <w:tr>
        <w:tc>
          <w:tcPr>
            <w:tcW w:type="dxa" w:w="3389"/>
            <w:vAlign w:val="top"/>
          </w:tcPr>
          <w:p>
            <w:r/>
            <w:r>
              <w:rPr>
                <w:b w:val="0"/>
                <w:sz w:val="17"/>
              </w:rPr>
              <w:t>Use Case / Application Service</w:t>
            </w:r>
          </w:p>
        </w:tc>
        <w:tc>
          <w:tcPr>
            <w:tcW w:type="dxa" w:w="3389"/>
            <w:vAlign w:val="top"/>
          </w:tcPr>
          <w:p>
            <w:r/>
            <w:r>
              <w:rPr>
                <w:b w:val="0"/>
                <w:sz w:val="17"/>
              </w:rPr>
              <w:t>Orchestrates one business operation.</w:t>
            </w:r>
          </w:p>
        </w:tc>
        <w:tc>
          <w:tcPr>
            <w:tcW w:type="dxa" w:w="3389"/>
            <w:vAlign w:val="top"/>
          </w:tcPr>
          <w:p>
            <w:r/>
            <w:r>
              <w:rPr>
                <w:b w:val="0"/>
                <w:sz w:val="17"/>
              </w:rPr>
              <w:t>CreateProject, SubmitBid, PublishContent.</w:t>
            </w:r>
          </w:p>
        </w:tc>
      </w:tr>
      <w:tr>
        <w:tc>
          <w:tcPr>
            <w:tcW w:type="dxa" w:w="3389"/>
            <w:vAlign w:val="top"/>
          </w:tcPr>
          <w:p>
            <w:r/>
            <w:r>
              <w:rPr>
                <w:b w:val="0"/>
                <w:sz w:val="17"/>
              </w:rPr>
              <w:t>Command</w:t>
            </w:r>
          </w:p>
        </w:tc>
        <w:tc>
          <w:tcPr>
            <w:tcW w:type="dxa" w:w="3389"/>
            <w:vAlign w:val="top"/>
          </w:tcPr>
          <w:p>
            <w:r/>
            <w:r>
              <w:rPr>
                <w:b w:val="0"/>
                <w:sz w:val="17"/>
              </w:rPr>
              <w:t>Intent to change state.</w:t>
            </w:r>
          </w:p>
        </w:tc>
        <w:tc>
          <w:tcPr>
            <w:tcW w:type="dxa" w:w="3389"/>
            <w:vAlign w:val="top"/>
          </w:tcPr>
          <w:p>
            <w:r/>
            <w:r>
              <w:rPr>
                <w:b w:val="0"/>
                <w:sz w:val="17"/>
              </w:rPr>
              <w:t>CreateProjectCommand, ApproveInvoiceCommand.</w:t>
            </w:r>
          </w:p>
        </w:tc>
      </w:tr>
      <w:tr>
        <w:tc>
          <w:tcPr>
            <w:tcW w:type="dxa" w:w="3389"/>
            <w:vAlign w:val="top"/>
          </w:tcPr>
          <w:p>
            <w:r/>
            <w:r>
              <w:rPr>
                <w:b w:val="0"/>
                <w:sz w:val="17"/>
              </w:rPr>
              <w:t>Query</w:t>
            </w:r>
          </w:p>
        </w:tc>
        <w:tc>
          <w:tcPr>
            <w:tcW w:type="dxa" w:w="3389"/>
            <w:vAlign w:val="top"/>
          </w:tcPr>
          <w:p>
            <w:r/>
            <w:r>
              <w:rPr>
                <w:b w:val="0"/>
                <w:sz w:val="17"/>
              </w:rPr>
              <w:t>Intent to read or calculate state without mutation.</w:t>
            </w:r>
          </w:p>
        </w:tc>
        <w:tc>
          <w:tcPr>
            <w:tcW w:type="dxa" w:w="3389"/>
            <w:vAlign w:val="top"/>
          </w:tcPr>
          <w:p>
            <w:r/>
            <w:r>
              <w:rPr>
                <w:b w:val="0"/>
                <w:sz w:val="17"/>
              </w:rPr>
              <w:t>GetDashboardQuery, ListAssignmentsQuery.</w:t>
            </w:r>
          </w:p>
        </w:tc>
      </w:tr>
      <w:tr>
        <w:tc>
          <w:tcPr>
            <w:tcW w:type="dxa" w:w="3389"/>
            <w:vAlign w:val="top"/>
          </w:tcPr>
          <w:p>
            <w:r/>
            <w:r>
              <w:rPr>
                <w:b w:val="0"/>
                <w:sz w:val="17"/>
              </w:rPr>
              <w:t>Domain Entity</w:t>
            </w:r>
          </w:p>
        </w:tc>
        <w:tc>
          <w:tcPr>
            <w:tcW w:type="dxa" w:w="3389"/>
            <w:vAlign w:val="top"/>
          </w:tcPr>
          <w:p>
            <w:r/>
            <w:r>
              <w:rPr>
                <w:b w:val="0"/>
                <w:sz w:val="17"/>
              </w:rPr>
              <w:t>Business object with identity and lifecycle.</w:t>
            </w:r>
          </w:p>
        </w:tc>
        <w:tc>
          <w:tcPr>
            <w:tcW w:type="dxa" w:w="3389"/>
            <w:vAlign w:val="top"/>
          </w:tcPr>
          <w:p>
            <w:r/>
            <w:r>
              <w:rPr>
                <w:b w:val="0"/>
                <w:sz w:val="17"/>
              </w:rPr>
              <w:t>Project, Tenant, Bid, Invoice, Article.</w:t>
            </w:r>
          </w:p>
        </w:tc>
      </w:tr>
      <w:tr>
        <w:tc>
          <w:tcPr>
            <w:tcW w:type="dxa" w:w="3389"/>
            <w:vAlign w:val="top"/>
          </w:tcPr>
          <w:p>
            <w:r/>
            <w:r>
              <w:rPr>
                <w:b w:val="0"/>
                <w:sz w:val="17"/>
              </w:rPr>
              <w:t>Value Object</w:t>
            </w:r>
          </w:p>
        </w:tc>
        <w:tc>
          <w:tcPr>
            <w:tcW w:type="dxa" w:w="3389"/>
            <w:vAlign w:val="top"/>
          </w:tcPr>
          <w:p>
            <w:r/>
            <w:r>
              <w:rPr>
                <w:b w:val="0"/>
                <w:sz w:val="17"/>
              </w:rPr>
              <w:t>Immutable concept defined by value.</w:t>
            </w:r>
          </w:p>
        </w:tc>
        <w:tc>
          <w:tcPr>
            <w:tcW w:type="dxa" w:w="3389"/>
            <w:vAlign w:val="top"/>
          </w:tcPr>
          <w:p>
            <w:r/>
            <w:r>
              <w:rPr>
                <w:b w:val="0"/>
                <w:sz w:val="17"/>
              </w:rPr>
              <w:t>Money, EmailAddress, DateRange, Quantity.</w:t>
            </w:r>
          </w:p>
        </w:tc>
      </w:tr>
      <w:tr>
        <w:tc>
          <w:tcPr>
            <w:tcW w:type="dxa" w:w="3389"/>
            <w:vAlign w:val="top"/>
          </w:tcPr>
          <w:p>
            <w:r/>
            <w:r>
              <w:rPr>
                <w:b w:val="0"/>
                <w:sz w:val="17"/>
              </w:rPr>
              <w:t>Domain Event</w:t>
            </w:r>
          </w:p>
        </w:tc>
        <w:tc>
          <w:tcPr>
            <w:tcW w:type="dxa" w:w="3389"/>
            <w:vAlign w:val="top"/>
          </w:tcPr>
          <w:p>
            <w:r/>
            <w:r>
              <w:rPr>
                <w:b w:val="0"/>
                <w:sz w:val="17"/>
              </w:rPr>
              <w:t>A fact that already happened.</w:t>
            </w:r>
          </w:p>
        </w:tc>
        <w:tc>
          <w:tcPr>
            <w:tcW w:type="dxa" w:w="3389"/>
            <w:vAlign w:val="top"/>
          </w:tcPr>
          <w:p>
            <w:r/>
            <w:r>
              <w:rPr>
                <w:b w:val="0"/>
                <w:sz w:val="17"/>
              </w:rPr>
              <w:t>ProjectCreated, BidSubmitted, ContentPublished.</w:t>
            </w:r>
          </w:p>
        </w:tc>
      </w:tr>
      <w:tr>
        <w:tc>
          <w:tcPr>
            <w:tcW w:type="dxa" w:w="3389"/>
            <w:vAlign w:val="top"/>
          </w:tcPr>
          <w:p>
            <w:r/>
            <w:r>
              <w:rPr>
                <w:b w:val="0"/>
                <w:sz w:val="17"/>
              </w:rPr>
              <w:t>Policy / Specification</w:t>
            </w:r>
          </w:p>
        </w:tc>
        <w:tc>
          <w:tcPr>
            <w:tcW w:type="dxa" w:w="3389"/>
            <w:vAlign w:val="top"/>
          </w:tcPr>
          <w:p>
            <w:r/>
            <w:r>
              <w:rPr>
                <w:b w:val="0"/>
                <w:sz w:val="17"/>
              </w:rPr>
              <w:t>Reusable business decision rule.</w:t>
            </w:r>
          </w:p>
        </w:tc>
        <w:tc>
          <w:tcPr>
            <w:tcW w:type="dxa" w:w="3389"/>
            <w:vAlign w:val="top"/>
          </w:tcPr>
          <w:p>
            <w:r/>
            <w:r>
              <w:rPr>
                <w:b w:val="0"/>
                <w:sz w:val="17"/>
              </w:rPr>
              <w:t>CanPublishContent, BidCanBeEdited.</w:t>
            </w:r>
          </w:p>
        </w:tc>
      </w:tr>
      <w:tr>
        <w:tc>
          <w:tcPr>
            <w:tcW w:type="dxa" w:w="3389"/>
            <w:vAlign w:val="top"/>
          </w:tcPr>
          <w:p>
            <w:r/>
            <w:r>
              <w:rPr>
                <w:b w:val="0"/>
                <w:sz w:val="17"/>
              </w:rPr>
              <w:t>Port</w:t>
            </w:r>
          </w:p>
        </w:tc>
        <w:tc>
          <w:tcPr>
            <w:tcW w:type="dxa" w:w="3389"/>
            <w:vAlign w:val="top"/>
          </w:tcPr>
          <w:p>
            <w:r/>
            <w:r>
              <w:rPr>
                <w:b w:val="0"/>
                <w:sz w:val="17"/>
              </w:rPr>
              <w:t>Interface required by the core.</w:t>
            </w:r>
          </w:p>
        </w:tc>
        <w:tc>
          <w:tcPr>
            <w:tcW w:type="dxa" w:w="3389"/>
            <w:vAlign w:val="top"/>
          </w:tcPr>
          <w:p>
            <w:r/>
            <w:r>
              <w:rPr>
                <w:b w:val="0"/>
                <w:sz w:val="17"/>
              </w:rPr>
              <w:t>RepositoryPort, EventPublisherPort, ClockPort.</w:t>
            </w:r>
          </w:p>
        </w:tc>
      </w:tr>
      <w:tr>
        <w:tc>
          <w:tcPr>
            <w:tcW w:type="dxa" w:w="3389"/>
            <w:vAlign w:val="top"/>
          </w:tcPr>
          <w:p>
            <w:r/>
            <w:r>
              <w:rPr>
                <w:b w:val="0"/>
                <w:sz w:val="17"/>
              </w:rPr>
              <w:t>Adapter</w:t>
            </w:r>
          </w:p>
        </w:tc>
        <w:tc>
          <w:tcPr>
            <w:tcW w:type="dxa" w:w="3389"/>
            <w:vAlign w:val="top"/>
          </w:tcPr>
          <w:p>
            <w:r/>
            <w:r>
              <w:rPr>
                <w:b w:val="0"/>
                <w:sz w:val="17"/>
              </w:rPr>
              <w:t>Technology-specific implementation of a port.</w:t>
            </w:r>
          </w:p>
        </w:tc>
        <w:tc>
          <w:tcPr>
            <w:tcW w:type="dxa" w:w="3389"/>
            <w:vAlign w:val="top"/>
          </w:tcPr>
          <w:p>
            <w:r/>
            <w:r>
              <w:rPr>
                <w:b w:val="0"/>
                <w:sz w:val="17"/>
              </w:rPr>
              <w:t>SqlProjectRepository, RabbitEventPublisher.</w:t>
            </w:r>
          </w:p>
        </w:tc>
      </w:tr>
    </w:tbl>
    <w:p/>
    <w:p>
      <w:pPr>
        <w:pStyle w:val="Heading1"/>
      </w:pPr>
      <w:r>
        <w:t>4. What Must Not Own Business Logic</w:t>
      </w:r>
    </w:p>
    <w:p>
      <w:r>
        <w:t>The foundation does not forbid controllers, templates, ORM models, workers, or UI handlers. It forbids them from becoming the primary owner of business behavior.</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vAlign w:val="center"/>
          </w:tcPr>
          <w:p>
            <w:r/>
            <w:r>
              <w:rPr>
                <w:b/>
                <w:sz w:val="17"/>
              </w:rPr>
              <w:t>Location</w:t>
            </w:r>
          </w:p>
        </w:tc>
        <w:tc>
          <w:tcPr>
            <w:tcW w:type="dxa" w:w="3389"/>
            <w:shd w:fill="D9EAF7"/>
            <w:vAlign w:val="center"/>
          </w:tcPr>
          <w:p>
            <w:r/>
            <w:r>
              <w:rPr>
                <w:b/>
                <w:sz w:val="17"/>
              </w:rPr>
              <w:t>Allowed Responsibility</w:t>
            </w:r>
          </w:p>
        </w:tc>
        <w:tc>
          <w:tcPr>
            <w:tcW w:type="dxa" w:w="3389"/>
            <w:shd w:fill="D9EAF7"/>
            <w:vAlign w:val="center"/>
          </w:tcPr>
          <w:p>
            <w:r/>
            <w:r>
              <w:rPr>
                <w:b/>
                <w:sz w:val="17"/>
              </w:rPr>
              <w:t>Forbidden Drift</w:t>
            </w:r>
          </w:p>
        </w:tc>
      </w:tr>
      <w:tr>
        <w:tc>
          <w:tcPr>
            <w:tcW w:type="dxa" w:w="3389"/>
            <w:vAlign w:val="top"/>
          </w:tcPr>
          <w:p>
            <w:r/>
            <w:r>
              <w:rPr>
                <w:b w:val="0"/>
                <w:sz w:val="17"/>
              </w:rPr>
              <w:t>Controller / API handler</w:t>
            </w:r>
          </w:p>
        </w:tc>
        <w:tc>
          <w:tcPr>
            <w:tcW w:type="dxa" w:w="3389"/>
            <w:vAlign w:val="top"/>
          </w:tcPr>
          <w:p>
            <w:r/>
            <w:r>
              <w:rPr>
                <w:b w:val="0"/>
                <w:sz w:val="17"/>
              </w:rPr>
              <w:t>Translate request into command/query and map result to response.</w:t>
            </w:r>
          </w:p>
        </w:tc>
        <w:tc>
          <w:tcPr>
            <w:tcW w:type="dxa" w:w="3389"/>
            <w:vAlign w:val="top"/>
          </w:tcPr>
          <w:p>
            <w:r/>
            <w:r>
              <w:rPr>
                <w:b w:val="0"/>
                <w:sz w:val="17"/>
              </w:rPr>
              <w:t>Owning workflow decisions and business state transitions.</w:t>
            </w:r>
          </w:p>
        </w:tc>
      </w:tr>
      <w:tr>
        <w:tc>
          <w:tcPr>
            <w:tcW w:type="dxa" w:w="3389"/>
            <w:vAlign w:val="top"/>
          </w:tcPr>
          <w:p>
            <w:r/>
            <w:r>
              <w:rPr>
                <w:b w:val="0"/>
                <w:sz w:val="17"/>
              </w:rPr>
              <w:t>UI component</w:t>
            </w:r>
          </w:p>
        </w:tc>
        <w:tc>
          <w:tcPr>
            <w:tcW w:type="dxa" w:w="3389"/>
            <w:vAlign w:val="top"/>
          </w:tcPr>
          <w:p>
            <w:r/>
            <w:r>
              <w:rPr>
                <w:b w:val="0"/>
                <w:sz w:val="17"/>
              </w:rPr>
              <w:t>Collect input and present state.</w:t>
            </w:r>
          </w:p>
        </w:tc>
        <w:tc>
          <w:tcPr>
            <w:tcW w:type="dxa" w:w="3389"/>
            <w:vAlign w:val="top"/>
          </w:tcPr>
          <w:p>
            <w:r/>
            <w:r>
              <w:rPr>
                <w:b w:val="0"/>
                <w:sz w:val="17"/>
              </w:rPr>
              <w:t>Deciding protected business rules or final authorization.</w:t>
            </w:r>
          </w:p>
        </w:tc>
      </w:tr>
      <w:tr>
        <w:tc>
          <w:tcPr>
            <w:tcW w:type="dxa" w:w="3389"/>
            <w:vAlign w:val="top"/>
          </w:tcPr>
          <w:p>
            <w:r/>
            <w:r>
              <w:rPr>
                <w:b w:val="0"/>
                <w:sz w:val="17"/>
              </w:rPr>
              <w:t>Template</w:t>
            </w:r>
          </w:p>
        </w:tc>
        <w:tc>
          <w:tcPr>
            <w:tcW w:type="dxa" w:w="3389"/>
            <w:vAlign w:val="top"/>
          </w:tcPr>
          <w:p>
            <w:r/>
            <w:r>
              <w:rPr>
                <w:b w:val="0"/>
                <w:sz w:val="17"/>
              </w:rPr>
              <w:t>Render data.</w:t>
            </w:r>
          </w:p>
        </w:tc>
        <w:tc>
          <w:tcPr>
            <w:tcW w:type="dxa" w:w="3389"/>
            <w:vAlign w:val="top"/>
          </w:tcPr>
          <w:p>
            <w:r/>
            <w:r>
              <w:rPr>
                <w:b w:val="0"/>
                <w:sz w:val="17"/>
              </w:rPr>
              <w:t>Embedding lifecycle or pricing logic.</w:t>
            </w:r>
          </w:p>
        </w:tc>
      </w:tr>
      <w:tr>
        <w:tc>
          <w:tcPr>
            <w:tcW w:type="dxa" w:w="3389"/>
            <w:vAlign w:val="top"/>
          </w:tcPr>
          <w:p>
            <w:r/>
            <w:r>
              <w:rPr>
                <w:b w:val="0"/>
                <w:sz w:val="17"/>
              </w:rPr>
              <w:t>ORM / database model</w:t>
            </w:r>
          </w:p>
        </w:tc>
        <w:tc>
          <w:tcPr>
            <w:tcW w:type="dxa" w:w="3389"/>
            <w:vAlign w:val="top"/>
          </w:tcPr>
          <w:p>
            <w:r/>
            <w:r>
              <w:rPr>
                <w:b w:val="0"/>
                <w:sz w:val="17"/>
              </w:rPr>
              <w:t>Persistence mapping and simple local invariants if documented.</w:t>
            </w:r>
          </w:p>
        </w:tc>
        <w:tc>
          <w:tcPr>
            <w:tcW w:type="dxa" w:w="3389"/>
            <w:vAlign w:val="top"/>
          </w:tcPr>
          <w:p>
            <w:r/>
            <w:r>
              <w:rPr>
                <w:b w:val="0"/>
                <w:sz w:val="17"/>
              </w:rPr>
              <w:t>Becoming the entire domain model by accident.</w:t>
            </w:r>
          </w:p>
        </w:tc>
      </w:tr>
      <w:tr>
        <w:tc>
          <w:tcPr>
            <w:tcW w:type="dxa" w:w="3389"/>
            <w:vAlign w:val="top"/>
          </w:tcPr>
          <w:p>
            <w:r/>
            <w:r>
              <w:rPr>
                <w:b w:val="0"/>
                <w:sz w:val="17"/>
              </w:rPr>
              <w:t>Migration</w:t>
            </w:r>
          </w:p>
        </w:tc>
        <w:tc>
          <w:tcPr>
            <w:tcW w:type="dxa" w:w="3389"/>
            <w:vAlign w:val="top"/>
          </w:tcPr>
          <w:p>
            <w:r/>
            <w:r>
              <w:rPr>
                <w:b w:val="0"/>
                <w:sz w:val="17"/>
              </w:rPr>
              <w:t>Change schema safely.</w:t>
            </w:r>
          </w:p>
        </w:tc>
        <w:tc>
          <w:tcPr>
            <w:tcW w:type="dxa" w:w="3389"/>
            <w:vAlign w:val="top"/>
          </w:tcPr>
          <w:p>
            <w:r/>
            <w:r>
              <w:rPr>
                <w:b w:val="0"/>
                <w:sz w:val="17"/>
              </w:rPr>
              <w:t>Encoding application behavior.</w:t>
            </w:r>
          </w:p>
        </w:tc>
      </w:tr>
      <w:tr>
        <w:tc>
          <w:tcPr>
            <w:tcW w:type="dxa" w:w="3389"/>
            <w:vAlign w:val="top"/>
          </w:tcPr>
          <w:p>
            <w:r/>
            <w:r>
              <w:rPr>
                <w:b w:val="0"/>
                <w:sz w:val="17"/>
              </w:rPr>
              <w:t>Queue worker</w:t>
            </w:r>
          </w:p>
        </w:tc>
        <w:tc>
          <w:tcPr>
            <w:tcW w:type="dxa" w:w="3389"/>
            <w:vAlign w:val="top"/>
          </w:tcPr>
          <w:p>
            <w:r/>
            <w:r>
              <w:rPr>
                <w:b w:val="0"/>
                <w:sz w:val="17"/>
              </w:rPr>
              <w:t>Invoke a use case in runtime context.</w:t>
            </w:r>
          </w:p>
        </w:tc>
        <w:tc>
          <w:tcPr>
            <w:tcW w:type="dxa" w:w="3389"/>
            <w:vAlign w:val="top"/>
          </w:tcPr>
          <w:p>
            <w:r/>
            <w:r>
              <w:rPr>
                <w:b w:val="0"/>
                <w:sz w:val="17"/>
              </w:rPr>
              <w:t>Duplicating controller logic.</w:t>
            </w:r>
          </w:p>
        </w:tc>
      </w:tr>
      <w:tr>
        <w:tc>
          <w:tcPr>
            <w:tcW w:type="dxa" w:w="3389"/>
            <w:vAlign w:val="top"/>
          </w:tcPr>
          <w:p>
            <w:r/>
            <w:r>
              <w:rPr>
                <w:b w:val="0"/>
                <w:sz w:val="17"/>
              </w:rPr>
              <w:t>Helper file</w:t>
            </w:r>
          </w:p>
        </w:tc>
        <w:tc>
          <w:tcPr>
            <w:tcW w:type="dxa" w:w="3389"/>
            <w:vAlign w:val="top"/>
          </w:tcPr>
          <w:p>
            <w:r/>
            <w:r>
              <w:rPr>
                <w:b w:val="0"/>
                <w:sz w:val="17"/>
              </w:rPr>
              <w:t>Pure reusable function.</w:t>
            </w:r>
          </w:p>
        </w:tc>
        <w:tc>
          <w:tcPr>
            <w:tcW w:type="dxa" w:w="3389"/>
            <w:vAlign w:val="top"/>
          </w:tcPr>
          <w:p>
            <w:r/>
            <w:r>
              <w:rPr>
                <w:b w:val="0"/>
                <w:sz w:val="17"/>
              </w:rPr>
              <w:t>Undocumented dumping ground for business rules.</w:t>
            </w:r>
          </w:p>
        </w:tc>
      </w:tr>
    </w:tbl>
    <w:p/>
    <w:p>
      <w:pPr>
        <w:pStyle w:val="Heading1"/>
      </w:pPr>
      <w:r>
        <w:t>5. Dependency Direction and Ports/Adapters</w:t>
      </w:r>
    </w:p>
    <w:p>
      <w:r>
        <w:t>Dependencies must point inward. The core may depend on pure domain constructs and interfaces. It should not depend directly on HTTP request objects, UI libraries, database clients, queue brokers, cloud SDKs, or provider-specific models. When the core needs outside capability, define a port and implement the technology-specific details in an adapter.</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vAlign w:val="center"/>
          </w:tcPr>
          <w:p>
            <w:r/>
            <w:r>
              <w:rPr>
                <w:b/>
                <w:sz w:val="17"/>
              </w:rPr>
              <w:t>Need</w:t>
            </w:r>
          </w:p>
        </w:tc>
        <w:tc>
          <w:tcPr>
            <w:tcW w:type="dxa" w:w="3389"/>
            <w:shd w:fill="D9EAF7"/>
            <w:vAlign w:val="center"/>
          </w:tcPr>
          <w:p>
            <w:r/>
            <w:r>
              <w:rPr>
                <w:b/>
                <w:sz w:val="17"/>
              </w:rPr>
              <w:t>Core Port</w:t>
            </w:r>
          </w:p>
        </w:tc>
        <w:tc>
          <w:tcPr>
            <w:tcW w:type="dxa" w:w="3389"/>
            <w:shd w:fill="D9EAF7"/>
            <w:vAlign w:val="center"/>
          </w:tcPr>
          <w:p>
            <w:r/>
            <w:r>
              <w:rPr>
                <w:b/>
                <w:sz w:val="17"/>
              </w:rPr>
              <w:t>Adapter Example</w:t>
            </w:r>
          </w:p>
        </w:tc>
      </w:tr>
      <w:tr>
        <w:tc>
          <w:tcPr>
            <w:tcW w:type="dxa" w:w="3389"/>
            <w:vAlign w:val="top"/>
          </w:tcPr>
          <w:p>
            <w:r/>
            <w:r>
              <w:rPr>
                <w:b w:val="0"/>
                <w:sz w:val="17"/>
              </w:rPr>
              <w:t>Persist project state</w:t>
            </w:r>
          </w:p>
        </w:tc>
        <w:tc>
          <w:tcPr>
            <w:tcW w:type="dxa" w:w="3389"/>
            <w:vAlign w:val="top"/>
          </w:tcPr>
          <w:p>
            <w:r/>
            <w:r>
              <w:rPr>
                <w:b w:val="0"/>
                <w:sz w:val="17"/>
              </w:rPr>
              <w:t>ProjectRepositoryPort</w:t>
            </w:r>
          </w:p>
        </w:tc>
        <w:tc>
          <w:tcPr>
            <w:tcW w:type="dxa" w:w="3389"/>
            <w:vAlign w:val="top"/>
          </w:tcPr>
          <w:p>
            <w:r/>
            <w:r>
              <w:rPr>
                <w:b w:val="0"/>
                <w:sz w:val="17"/>
              </w:rPr>
              <w:t>SqlProjectRepository, DocumentProjectRepository</w:t>
            </w:r>
          </w:p>
        </w:tc>
      </w:tr>
      <w:tr>
        <w:tc>
          <w:tcPr>
            <w:tcW w:type="dxa" w:w="3389"/>
            <w:vAlign w:val="top"/>
          </w:tcPr>
          <w:p>
            <w:r/>
            <w:r>
              <w:rPr>
                <w:b w:val="0"/>
                <w:sz w:val="17"/>
              </w:rPr>
              <w:t>Publish domain event</w:t>
            </w:r>
          </w:p>
        </w:tc>
        <w:tc>
          <w:tcPr>
            <w:tcW w:type="dxa" w:w="3389"/>
            <w:vAlign w:val="top"/>
          </w:tcPr>
          <w:p>
            <w:r/>
            <w:r>
              <w:rPr>
                <w:b w:val="0"/>
                <w:sz w:val="17"/>
              </w:rPr>
              <w:t>EventPublisherPort</w:t>
            </w:r>
          </w:p>
        </w:tc>
        <w:tc>
          <w:tcPr>
            <w:tcW w:type="dxa" w:w="3389"/>
            <w:vAlign w:val="top"/>
          </w:tcPr>
          <w:p>
            <w:r/>
            <w:r>
              <w:rPr>
                <w:b w:val="0"/>
                <w:sz w:val="17"/>
              </w:rPr>
              <w:t>RabbitPublisher, KafkaProducer, LocalEventBus</w:t>
            </w:r>
          </w:p>
        </w:tc>
      </w:tr>
      <w:tr>
        <w:tc>
          <w:tcPr>
            <w:tcW w:type="dxa" w:w="3389"/>
            <w:vAlign w:val="top"/>
          </w:tcPr>
          <w:p>
            <w:r/>
            <w:r>
              <w:rPr>
                <w:b w:val="0"/>
                <w:sz w:val="17"/>
              </w:rPr>
              <w:t>Generate ID</w:t>
            </w:r>
          </w:p>
        </w:tc>
        <w:tc>
          <w:tcPr>
            <w:tcW w:type="dxa" w:w="3389"/>
            <w:vAlign w:val="top"/>
          </w:tcPr>
          <w:p>
            <w:r/>
            <w:r>
              <w:rPr>
                <w:b w:val="0"/>
                <w:sz w:val="17"/>
              </w:rPr>
              <w:t>IdGeneratorPort</w:t>
            </w:r>
          </w:p>
        </w:tc>
        <w:tc>
          <w:tcPr>
            <w:tcW w:type="dxa" w:w="3389"/>
            <w:vAlign w:val="top"/>
          </w:tcPr>
          <w:p>
            <w:r/>
            <w:r>
              <w:rPr>
                <w:b w:val="0"/>
                <w:sz w:val="17"/>
              </w:rPr>
              <w:t>UuidV7Generator, UlidGenerator</w:t>
            </w:r>
          </w:p>
        </w:tc>
      </w:tr>
      <w:tr>
        <w:tc>
          <w:tcPr>
            <w:tcW w:type="dxa" w:w="3389"/>
            <w:vAlign w:val="top"/>
          </w:tcPr>
          <w:p>
            <w:r/>
            <w:r>
              <w:rPr>
                <w:b w:val="0"/>
                <w:sz w:val="17"/>
              </w:rPr>
              <w:t>Get current time</w:t>
            </w:r>
          </w:p>
        </w:tc>
        <w:tc>
          <w:tcPr>
            <w:tcW w:type="dxa" w:w="3389"/>
            <w:vAlign w:val="top"/>
          </w:tcPr>
          <w:p>
            <w:r/>
            <w:r>
              <w:rPr>
                <w:b w:val="0"/>
                <w:sz w:val="17"/>
              </w:rPr>
              <w:t>ClockPort</w:t>
            </w:r>
          </w:p>
        </w:tc>
        <w:tc>
          <w:tcPr>
            <w:tcW w:type="dxa" w:w="3389"/>
            <w:vAlign w:val="top"/>
          </w:tcPr>
          <w:p>
            <w:r/>
            <w:r>
              <w:rPr>
                <w:b w:val="0"/>
                <w:sz w:val="17"/>
              </w:rPr>
              <w:t>SystemClock, FixedClock for tests</w:t>
            </w:r>
          </w:p>
        </w:tc>
      </w:tr>
      <w:tr>
        <w:tc>
          <w:tcPr>
            <w:tcW w:type="dxa" w:w="3389"/>
            <w:vAlign w:val="top"/>
          </w:tcPr>
          <w:p>
            <w:r/>
            <w:r>
              <w:rPr>
                <w:b w:val="0"/>
                <w:sz w:val="17"/>
              </w:rPr>
              <w:t>Send email</w:t>
            </w:r>
          </w:p>
        </w:tc>
        <w:tc>
          <w:tcPr>
            <w:tcW w:type="dxa" w:w="3389"/>
            <w:vAlign w:val="top"/>
          </w:tcPr>
          <w:p>
            <w:r/>
            <w:r>
              <w:rPr>
                <w:b w:val="0"/>
                <w:sz w:val="17"/>
              </w:rPr>
              <w:t>NotificationPort</w:t>
            </w:r>
          </w:p>
        </w:tc>
        <w:tc>
          <w:tcPr>
            <w:tcW w:type="dxa" w:w="3389"/>
            <w:vAlign w:val="top"/>
          </w:tcPr>
          <w:p>
            <w:r/>
            <w:r>
              <w:rPr>
                <w:b w:val="0"/>
                <w:sz w:val="17"/>
              </w:rPr>
              <w:t>SmtpMailer, ApiMailer</w:t>
            </w:r>
          </w:p>
        </w:tc>
      </w:tr>
      <w:tr>
        <w:tc>
          <w:tcPr>
            <w:tcW w:type="dxa" w:w="3389"/>
            <w:vAlign w:val="top"/>
          </w:tcPr>
          <w:p>
            <w:r/>
            <w:r>
              <w:rPr>
                <w:b w:val="0"/>
                <w:sz w:val="17"/>
              </w:rPr>
              <w:t>Read external system</w:t>
            </w:r>
          </w:p>
        </w:tc>
        <w:tc>
          <w:tcPr>
            <w:tcW w:type="dxa" w:w="3389"/>
            <w:vAlign w:val="top"/>
          </w:tcPr>
          <w:p>
            <w:r/>
            <w:r>
              <w:rPr>
                <w:b w:val="0"/>
                <w:sz w:val="17"/>
              </w:rPr>
              <w:t>ExternalGatewayPort</w:t>
            </w:r>
          </w:p>
        </w:tc>
        <w:tc>
          <w:tcPr>
            <w:tcW w:type="dxa" w:w="3389"/>
            <w:vAlign w:val="top"/>
          </w:tcPr>
          <w:p>
            <w:r/>
            <w:r>
              <w:rPr>
                <w:b w:val="0"/>
                <w:sz w:val="17"/>
              </w:rPr>
              <w:t>VendorApiAdapter, LegacyImportAdapter</w:t>
            </w:r>
          </w:p>
        </w:tc>
      </w:tr>
    </w:tbl>
    <w:p/>
    <w:p>
      <w:pPr>
        <w:pStyle w:val="Heading1"/>
      </w:pPr>
      <w:r>
        <w:t>6. Module Boundary Rules</w:t>
      </w:r>
    </w:p>
    <w:p>
      <w:r>
        <w:t>A module should represent product capability and business vocabulary, not an arbitrary technical folder. Module boundaries should be stable enough that AI agents can add future features without re-inventing structure each pass.</w:t>
      </w:r>
    </w:p>
    <w:p>
      <w:pPr>
        <w:pStyle w:val="ListBullet"/>
      </w:pPr>
      <w:r>
        <w:t>A module should have a clear business purpose and owner.</w:t>
      </w:r>
    </w:p>
    <w:p>
      <w:pPr>
        <w:pStyle w:val="ListBullet"/>
      </w:pPr>
      <w:r>
        <w:t>A module may include domain objects, use cases, ports, adapters, contracts, and tests.</w:t>
      </w:r>
    </w:p>
    <w:p>
      <w:pPr>
        <w:pStyle w:val="ListBullet"/>
      </w:pPr>
      <w:r>
        <w:t>A module should expose behavior through use cases or interfaces rather than shared mutable internals.</w:t>
      </w:r>
    </w:p>
    <w:p>
      <w:pPr>
        <w:pStyle w:val="ListBullet"/>
      </w:pPr>
      <w:r>
        <w:t>Cross-module calls should be explicit and documented when they affect business coupling.</w:t>
      </w:r>
    </w:p>
    <w:p>
      <w:pPr>
        <w:pStyle w:val="ListBullet"/>
      </w:pPr>
      <w:r>
        <w:t>Modules should not be split or merged casually; material changes belong in ADRs.</w:t>
      </w:r>
    </w:p>
    <w:p>
      <w:pPr>
        <w:pStyle w:val="Heading1"/>
      </w:pPr>
      <w:r>
        <w:t>7. Use Cases, Commands, and Queries</w:t>
      </w:r>
    </w:p>
    <w:p>
      <w:r>
        <w:t>Use cases are the primary unit of application behavior. They should be named after business intent and have explicit input, output, preconditions, postconditions, dependencies, side effects, and tests. Commands change state. Queries read state. Both should be stable enough to be called by UI, API, CLI, workers, or tests without duplicating behavior.</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vAlign w:val="center"/>
          </w:tcPr>
          <w:p>
            <w:r/>
            <w:r>
              <w:rPr>
                <w:b/>
                <w:sz w:val="17"/>
              </w:rPr>
              <w:t>Artifact</w:t>
            </w:r>
          </w:p>
        </w:tc>
        <w:tc>
          <w:tcPr>
            <w:tcW w:type="dxa" w:w="3389"/>
            <w:shd w:fill="D9EAF7"/>
            <w:vAlign w:val="center"/>
          </w:tcPr>
          <w:p>
            <w:r/>
            <w:r>
              <w:rPr>
                <w:b/>
                <w:sz w:val="17"/>
              </w:rPr>
              <w:t>Standard</w:t>
            </w:r>
          </w:p>
        </w:tc>
        <w:tc>
          <w:tcPr>
            <w:tcW w:type="dxa" w:w="3389"/>
            <w:shd w:fill="D9EAF7"/>
            <w:vAlign w:val="center"/>
          </w:tcPr>
          <w:p>
            <w:r/>
            <w:r>
              <w:rPr>
                <w:b/>
                <w:sz w:val="17"/>
              </w:rPr>
              <w:t>Example</w:t>
            </w:r>
          </w:p>
        </w:tc>
      </w:tr>
      <w:tr>
        <w:tc>
          <w:tcPr>
            <w:tcW w:type="dxa" w:w="3389"/>
            <w:vAlign w:val="top"/>
          </w:tcPr>
          <w:p>
            <w:r/>
            <w:r>
              <w:rPr>
                <w:b w:val="0"/>
                <w:sz w:val="17"/>
              </w:rPr>
              <w:t>Use case</w:t>
            </w:r>
          </w:p>
        </w:tc>
        <w:tc>
          <w:tcPr>
            <w:tcW w:type="dxa" w:w="3389"/>
            <w:vAlign w:val="top"/>
          </w:tcPr>
          <w:p>
            <w:r/>
            <w:r>
              <w:rPr>
                <w:b w:val="0"/>
                <w:sz w:val="17"/>
              </w:rPr>
              <w:t>Verb + noun business operation.</w:t>
            </w:r>
          </w:p>
        </w:tc>
        <w:tc>
          <w:tcPr>
            <w:tcW w:type="dxa" w:w="3389"/>
            <w:vAlign w:val="top"/>
          </w:tcPr>
          <w:p>
            <w:r/>
            <w:r>
              <w:rPr>
                <w:b w:val="0"/>
                <w:sz w:val="17"/>
              </w:rPr>
              <w:t>CreateProject, ApproveInvoice, PublishContent.</w:t>
            </w:r>
          </w:p>
        </w:tc>
      </w:tr>
      <w:tr>
        <w:tc>
          <w:tcPr>
            <w:tcW w:type="dxa" w:w="3389"/>
            <w:vAlign w:val="top"/>
          </w:tcPr>
          <w:p>
            <w:r/>
            <w:r>
              <w:rPr>
                <w:b w:val="0"/>
                <w:sz w:val="17"/>
              </w:rPr>
              <w:t>Command</w:t>
            </w:r>
          </w:p>
        </w:tc>
        <w:tc>
          <w:tcPr>
            <w:tcW w:type="dxa" w:w="3389"/>
            <w:vAlign w:val="top"/>
          </w:tcPr>
          <w:p>
            <w:r/>
            <w:r>
              <w:rPr>
                <w:b w:val="0"/>
                <w:sz w:val="17"/>
              </w:rPr>
              <w:t>Structured intent to mutate state.</w:t>
            </w:r>
          </w:p>
        </w:tc>
        <w:tc>
          <w:tcPr>
            <w:tcW w:type="dxa" w:w="3389"/>
            <w:vAlign w:val="top"/>
          </w:tcPr>
          <w:p>
            <w:r/>
            <w:r>
              <w:rPr>
                <w:b w:val="0"/>
                <w:sz w:val="17"/>
              </w:rPr>
              <w:t>CreateProjectCommand.</w:t>
            </w:r>
          </w:p>
        </w:tc>
      </w:tr>
      <w:tr>
        <w:tc>
          <w:tcPr>
            <w:tcW w:type="dxa" w:w="3389"/>
            <w:vAlign w:val="top"/>
          </w:tcPr>
          <w:p>
            <w:r/>
            <w:r>
              <w:rPr>
                <w:b w:val="0"/>
                <w:sz w:val="17"/>
              </w:rPr>
              <w:t>Query</w:t>
            </w:r>
          </w:p>
        </w:tc>
        <w:tc>
          <w:tcPr>
            <w:tcW w:type="dxa" w:w="3389"/>
            <w:vAlign w:val="top"/>
          </w:tcPr>
          <w:p>
            <w:r/>
            <w:r>
              <w:rPr>
                <w:b w:val="0"/>
                <w:sz w:val="17"/>
              </w:rPr>
              <w:t>Structured intent to read or calculate.</w:t>
            </w:r>
          </w:p>
        </w:tc>
        <w:tc>
          <w:tcPr>
            <w:tcW w:type="dxa" w:w="3389"/>
            <w:vAlign w:val="top"/>
          </w:tcPr>
          <w:p>
            <w:r/>
            <w:r>
              <w:rPr>
                <w:b w:val="0"/>
                <w:sz w:val="17"/>
              </w:rPr>
              <w:t>GetProjectDashboardQuery.</w:t>
            </w:r>
          </w:p>
        </w:tc>
      </w:tr>
      <w:tr>
        <w:tc>
          <w:tcPr>
            <w:tcW w:type="dxa" w:w="3389"/>
            <w:vAlign w:val="top"/>
          </w:tcPr>
          <w:p>
            <w:r/>
            <w:r>
              <w:rPr>
                <w:b w:val="0"/>
                <w:sz w:val="17"/>
              </w:rPr>
              <w:t>Result</w:t>
            </w:r>
          </w:p>
        </w:tc>
        <w:tc>
          <w:tcPr>
            <w:tcW w:type="dxa" w:w="3389"/>
            <w:vAlign w:val="top"/>
          </w:tcPr>
          <w:p>
            <w:r/>
            <w:r>
              <w:rPr>
                <w:b w:val="0"/>
                <w:sz w:val="17"/>
              </w:rPr>
              <w:t>Structured outcome independent of transport.</w:t>
            </w:r>
          </w:p>
        </w:tc>
        <w:tc>
          <w:tcPr>
            <w:tcW w:type="dxa" w:w="3389"/>
            <w:vAlign w:val="top"/>
          </w:tcPr>
          <w:p>
            <w:r/>
            <w:r>
              <w:rPr>
                <w:b w:val="0"/>
                <w:sz w:val="17"/>
              </w:rPr>
              <w:t>CreateProjectResult.</w:t>
            </w:r>
          </w:p>
        </w:tc>
      </w:tr>
      <w:tr>
        <w:tc>
          <w:tcPr>
            <w:tcW w:type="dxa" w:w="3389"/>
            <w:vAlign w:val="top"/>
          </w:tcPr>
          <w:p>
            <w:r/>
            <w:r>
              <w:rPr>
                <w:b w:val="0"/>
                <w:sz w:val="17"/>
              </w:rPr>
              <w:t>Error</w:t>
            </w:r>
          </w:p>
        </w:tc>
        <w:tc>
          <w:tcPr>
            <w:tcW w:type="dxa" w:w="3389"/>
            <w:vAlign w:val="top"/>
          </w:tcPr>
          <w:p>
            <w:r/>
            <w:r>
              <w:rPr>
                <w:b w:val="0"/>
                <w:sz w:val="17"/>
              </w:rPr>
              <w:t>Business outcome category.</w:t>
            </w:r>
          </w:p>
        </w:tc>
        <w:tc>
          <w:tcPr>
            <w:tcW w:type="dxa" w:w="3389"/>
            <w:vAlign w:val="top"/>
          </w:tcPr>
          <w:p>
            <w:r/>
            <w:r>
              <w:rPr>
                <w:b w:val="0"/>
                <w:sz w:val="17"/>
              </w:rPr>
              <w:t>ValidationError, Forbidden, Conflict, InvalidState.</w:t>
            </w:r>
          </w:p>
        </w:tc>
      </w:tr>
    </w:tbl>
    <w:p/>
    <w:p>
      <w:pPr>
        <w:pStyle w:val="Heading1"/>
      </w:pPr>
      <w:r>
        <w:t>8. Workflows and Lifecycle States</w:t>
      </w:r>
    </w:p>
    <w:p>
      <w:r>
        <w:t>Many applications are workflow-driven. State machines and lifecycle transitions must be explicit and enforced in the core. Database enums and UI dropdowns may reflect state, but they must not be the only enforcement mechanism.</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r/>
            <w:r>
              <w:rPr>
                <w:b/>
                <w:sz w:val="17"/>
              </w:rPr>
              <w:t>Workflow Requirement</w:t>
            </w:r>
          </w:p>
        </w:tc>
        <w:tc>
          <w:tcPr>
            <w:tcW w:type="dxa" w:w="5083"/>
            <w:shd w:fill="D9EAF7"/>
            <w:vAlign w:val="center"/>
          </w:tcPr>
          <w:p>
            <w:r/>
            <w:r>
              <w:rPr>
                <w:b/>
                <w:sz w:val="17"/>
              </w:rPr>
              <w:t>Explanation</w:t>
            </w:r>
          </w:p>
        </w:tc>
      </w:tr>
      <w:tr>
        <w:tc>
          <w:tcPr>
            <w:tcW w:type="dxa" w:w="5083"/>
            <w:vAlign w:val="top"/>
          </w:tcPr>
          <w:p>
            <w:r/>
            <w:r>
              <w:rPr>
                <w:b w:val="0"/>
                <w:sz w:val="17"/>
              </w:rPr>
              <w:t>States</w:t>
            </w:r>
          </w:p>
        </w:tc>
        <w:tc>
          <w:tcPr>
            <w:tcW w:type="dxa" w:w="5083"/>
            <w:vAlign w:val="top"/>
          </w:tcPr>
          <w:p>
            <w:r/>
            <w:r>
              <w:rPr>
                <w:b w:val="0"/>
                <w:sz w:val="17"/>
              </w:rPr>
              <w:t>Define all meaningful states and their business meaning.</w:t>
            </w:r>
          </w:p>
        </w:tc>
      </w:tr>
      <w:tr>
        <w:tc>
          <w:tcPr>
            <w:tcW w:type="dxa" w:w="5083"/>
            <w:vAlign w:val="top"/>
          </w:tcPr>
          <w:p>
            <w:r/>
            <w:r>
              <w:rPr>
                <w:b w:val="0"/>
                <w:sz w:val="17"/>
              </w:rPr>
              <w:t>Transitions</w:t>
            </w:r>
          </w:p>
        </w:tc>
        <w:tc>
          <w:tcPr>
            <w:tcW w:type="dxa" w:w="5083"/>
            <w:vAlign w:val="top"/>
          </w:tcPr>
          <w:p>
            <w:r/>
            <w:r>
              <w:rPr>
                <w:b w:val="0"/>
                <w:sz w:val="17"/>
              </w:rPr>
              <w:t>Define allowed, guarded, and forbidden transitions.</w:t>
            </w:r>
          </w:p>
        </w:tc>
      </w:tr>
      <w:tr>
        <w:tc>
          <w:tcPr>
            <w:tcW w:type="dxa" w:w="5083"/>
            <w:vAlign w:val="top"/>
          </w:tcPr>
          <w:p>
            <w:r/>
            <w:r>
              <w:rPr>
                <w:b w:val="0"/>
                <w:sz w:val="17"/>
              </w:rPr>
              <w:t>Permissions</w:t>
            </w:r>
          </w:p>
        </w:tc>
        <w:tc>
          <w:tcPr>
            <w:tcW w:type="dxa" w:w="5083"/>
            <w:vAlign w:val="top"/>
          </w:tcPr>
          <w:p>
            <w:r/>
            <w:r>
              <w:rPr>
                <w:b w:val="0"/>
                <w:sz w:val="17"/>
              </w:rPr>
              <w:t>Define who may initiate each transition when protected.</w:t>
            </w:r>
          </w:p>
        </w:tc>
      </w:tr>
      <w:tr>
        <w:tc>
          <w:tcPr>
            <w:tcW w:type="dxa" w:w="5083"/>
            <w:vAlign w:val="top"/>
          </w:tcPr>
          <w:p>
            <w:r/>
            <w:r>
              <w:rPr>
                <w:b w:val="0"/>
                <w:sz w:val="17"/>
              </w:rPr>
              <w:t>Side effects</w:t>
            </w:r>
          </w:p>
        </w:tc>
        <w:tc>
          <w:tcPr>
            <w:tcW w:type="dxa" w:w="5083"/>
            <w:vAlign w:val="top"/>
          </w:tcPr>
          <w:p>
            <w:r/>
            <w:r>
              <w:rPr>
                <w:b w:val="0"/>
                <w:sz w:val="17"/>
              </w:rPr>
              <w:t>Define notifications, events, audit records, projection updates, and jobs.</w:t>
            </w:r>
          </w:p>
        </w:tc>
      </w:tr>
      <w:tr>
        <w:tc>
          <w:tcPr>
            <w:tcW w:type="dxa" w:w="5083"/>
            <w:vAlign w:val="top"/>
          </w:tcPr>
          <w:p>
            <w:r/>
            <w:r>
              <w:rPr>
                <w:b w:val="0"/>
                <w:sz w:val="17"/>
              </w:rPr>
              <w:t>Rollback/cancel behavior</w:t>
            </w:r>
          </w:p>
        </w:tc>
        <w:tc>
          <w:tcPr>
            <w:tcW w:type="dxa" w:w="5083"/>
            <w:vAlign w:val="top"/>
          </w:tcPr>
          <w:p>
            <w:r/>
            <w:r>
              <w:rPr>
                <w:b w:val="0"/>
                <w:sz w:val="17"/>
              </w:rPr>
              <w:t>Define how failed or reversed workflows behave.</w:t>
            </w:r>
          </w:p>
        </w:tc>
      </w:tr>
      <w:tr>
        <w:tc>
          <w:tcPr>
            <w:tcW w:type="dxa" w:w="5083"/>
            <w:vAlign w:val="top"/>
          </w:tcPr>
          <w:p>
            <w:r/>
            <w:r>
              <w:rPr>
                <w:b w:val="0"/>
                <w:sz w:val="17"/>
              </w:rPr>
              <w:t>Concurrency behavior</w:t>
            </w:r>
          </w:p>
        </w:tc>
        <w:tc>
          <w:tcPr>
            <w:tcW w:type="dxa" w:w="5083"/>
            <w:vAlign w:val="top"/>
          </w:tcPr>
          <w:p>
            <w:r/>
            <w:r>
              <w:rPr>
                <w:b w:val="0"/>
                <w:sz w:val="17"/>
              </w:rPr>
              <w:t>Define conflict, lock, retry, or stale-state handling.</w:t>
            </w:r>
          </w:p>
        </w:tc>
      </w:tr>
    </w:tbl>
    <w:p/>
    <w:p>
      <w:pPr>
        <w:pStyle w:val="Heading1"/>
      </w:pPr>
      <w:r>
        <w:t>9. Domain Events</w:t>
      </w:r>
    </w:p>
    <w:p>
      <w:r>
        <w:t>A domain event is a past-tense fact emitted after a successful business state change. Domain events allow the API and Runtime layers to build asynchronous workflows without contaminating the core with broker-specific details.</w:t>
      </w:r>
    </w:p>
    <w:p>
      <w:pPr>
        <w:pStyle w:val="ListBullet"/>
      </w:pPr>
      <w:r>
        <w:t>Name events in past tense: ProjectCreated, UserInvited, ContentPublished.</w:t>
      </w:r>
    </w:p>
    <w:p>
      <w:pPr>
        <w:pStyle w:val="ListBullet"/>
      </w:pPr>
      <w:r>
        <w:t>Version event payloads when events may cross process or persistence boundaries.</w:t>
      </w:r>
    </w:p>
    <w:p>
      <w:pPr>
        <w:pStyle w:val="ListBullet"/>
      </w:pPr>
      <w:r>
        <w:t>Include stable identifiers, occurred timestamp, actor/context, tenant/scope, and correlation ID where applicable.</w:t>
      </w:r>
    </w:p>
    <w:p>
      <w:pPr>
        <w:pStyle w:val="ListBullet"/>
      </w:pPr>
      <w:r>
        <w:t>Do not include sensitive data unless explicitly approved by policy.</w:t>
      </w:r>
    </w:p>
    <w:p>
      <w:pPr>
        <w:pStyle w:val="ListBullet"/>
      </w:pPr>
      <w:r>
        <w:t>Event handlers must be idempotent because retries and duplicate delivery are normal in distributed systems.</w:t>
      </w:r>
    </w:p>
    <w:p>
      <w:pPr>
        <w:pStyle w:val="Heading1"/>
      </w:pPr>
      <w:r>
        <w:t>10. Validation, Errors, and Results</w:t>
      </w:r>
    </w:p>
    <w:p>
      <w:r>
        <w:t>Validation must be layered. UI validation improves usability; API validation protects the boundary; domain validation protects business meaning; data validation protects persistence integrity; ACL validation protects authorization. Do not rely on only one layer.</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r/>
            <w:r>
              <w:rPr>
                <w:b/>
                <w:sz w:val="17"/>
              </w:rPr>
              <w:t>Layer</w:t>
            </w:r>
          </w:p>
        </w:tc>
        <w:tc>
          <w:tcPr>
            <w:tcW w:type="dxa" w:w="5083"/>
            <w:shd w:fill="D9EAF7"/>
            <w:vAlign w:val="center"/>
          </w:tcPr>
          <w:p>
            <w:r/>
            <w:r>
              <w:rPr>
                <w:b/>
                <w:sz w:val="17"/>
              </w:rPr>
              <w:t>Responsibility</w:t>
            </w:r>
          </w:p>
        </w:tc>
      </w:tr>
      <w:tr>
        <w:tc>
          <w:tcPr>
            <w:tcW w:type="dxa" w:w="5083"/>
            <w:vAlign w:val="top"/>
          </w:tcPr>
          <w:p>
            <w:r/>
            <w:r>
              <w:rPr>
                <w:b w:val="0"/>
                <w:sz w:val="17"/>
              </w:rPr>
              <w:t>UI</w:t>
            </w:r>
          </w:p>
        </w:tc>
        <w:tc>
          <w:tcPr>
            <w:tcW w:type="dxa" w:w="5083"/>
            <w:vAlign w:val="top"/>
          </w:tcPr>
          <w:p>
            <w:r/>
            <w:r>
              <w:rPr>
                <w:b w:val="0"/>
                <w:sz w:val="17"/>
              </w:rPr>
              <w:t>Immediate user feedback and formatting help.</w:t>
            </w:r>
          </w:p>
        </w:tc>
      </w:tr>
      <w:tr>
        <w:tc>
          <w:tcPr>
            <w:tcW w:type="dxa" w:w="5083"/>
            <w:vAlign w:val="top"/>
          </w:tcPr>
          <w:p>
            <w:r/>
            <w:r>
              <w:rPr>
                <w:b w:val="0"/>
                <w:sz w:val="17"/>
              </w:rPr>
              <w:t>API / Boundary</w:t>
            </w:r>
          </w:p>
        </w:tc>
        <w:tc>
          <w:tcPr>
            <w:tcW w:type="dxa" w:w="5083"/>
            <w:vAlign w:val="top"/>
          </w:tcPr>
          <w:p>
            <w:r/>
            <w:r>
              <w:rPr>
                <w:b w:val="0"/>
                <w:sz w:val="17"/>
              </w:rPr>
              <w:t>Schema, type, size, and unknown-field rejection.</w:t>
            </w:r>
          </w:p>
        </w:tc>
      </w:tr>
      <w:tr>
        <w:tc>
          <w:tcPr>
            <w:tcW w:type="dxa" w:w="5083"/>
            <w:vAlign w:val="top"/>
          </w:tcPr>
          <w:p>
            <w:r/>
            <w:r>
              <w:rPr>
                <w:b w:val="0"/>
                <w:sz w:val="17"/>
              </w:rPr>
              <w:t>Domain</w:t>
            </w:r>
          </w:p>
        </w:tc>
        <w:tc>
          <w:tcPr>
            <w:tcW w:type="dxa" w:w="5083"/>
            <w:vAlign w:val="top"/>
          </w:tcPr>
          <w:p>
            <w:r/>
            <w:r>
              <w:rPr>
                <w:b w:val="0"/>
                <w:sz w:val="17"/>
              </w:rPr>
              <w:t>Business meaning, invariants, lifecycle, cross-field rules.</w:t>
            </w:r>
          </w:p>
        </w:tc>
      </w:tr>
      <w:tr>
        <w:tc>
          <w:tcPr>
            <w:tcW w:type="dxa" w:w="5083"/>
            <w:vAlign w:val="top"/>
          </w:tcPr>
          <w:p>
            <w:r/>
            <w:r>
              <w:rPr>
                <w:b w:val="0"/>
                <w:sz w:val="17"/>
              </w:rPr>
              <w:t>Data</w:t>
            </w:r>
          </w:p>
        </w:tc>
        <w:tc>
          <w:tcPr>
            <w:tcW w:type="dxa" w:w="5083"/>
            <w:vAlign w:val="top"/>
          </w:tcPr>
          <w:p>
            <w:r/>
            <w:r>
              <w:rPr>
                <w:b w:val="0"/>
                <w:sz w:val="17"/>
              </w:rPr>
              <w:t>Persistence constraints and referential integrity.</w:t>
            </w:r>
          </w:p>
        </w:tc>
      </w:tr>
      <w:tr>
        <w:tc>
          <w:tcPr>
            <w:tcW w:type="dxa" w:w="5083"/>
            <w:vAlign w:val="top"/>
          </w:tcPr>
          <w:p>
            <w:r/>
            <w:r>
              <w:rPr>
                <w:b w:val="0"/>
                <w:sz w:val="17"/>
              </w:rPr>
              <w:t>ACL</w:t>
            </w:r>
          </w:p>
        </w:tc>
        <w:tc>
          <w:tcPr>
            <w:tcW w:type="dxa" w:w="5083"/>
            <w:vAlign w:val="top"/>
          </w:tcPr>
          <w:p>
            <w:r/>
            <w:r>
              <w:rPr>
                <w:b w:val="0"/>
                <w:sz w:val="17"/>
              </w:rPr>
              <w:t>Permission, scope, and policy decision.</w:t>
            </w:r>
          </w:p>
        </w:tc>
      </w:tr>
    </w:tbl>
    <w:p/>
    <w:p>
      <w:r>
        <w:t>Use cases should return structured results and known business errors. Transport adapters then map those results to HTTP responses, UI messages, CLI output, or job status. Ordinary business outcomes should not be represented only as generic exceptions.</w:t>
      </w:r>
    </w:p>
    <w:p>
      <w:pPr>
        <w:pStyle w:val="Heading1"/>
      </w:pPr>
      <w:r>
        <w:t>11. Transactions, Consistency, and Side Effects</w:t>
      </w:r>
    </w:p>
    <w:p>
      <w:r>
        <w:t>The use case must define what must happen atomically, what can happen asynchronously, what should be retried, and what must be reconciled. This aligns the Application Core with the Data and API foundations without letting persistence details leak into business behavior.</w:t>
      </w:r>
    </w:p>
    <w:p>
      <w:pPr>
        <w:pStyle w:val="ListBullet"/>
      </w:pPr>
      <w:r>
        <w:t>Define the transaction boundary for each state-changing use case.</w:t>
      </w:r>
    </w:p>
    <w:p>
      <w:pPr>
        <w:pStyle w:val="ListBullet"/>
      </w:pPr>
      <w:r>
        <w:t>Emit domain events after accepted state changes.</w:t>
      </w:r>
    </w:p>
    <w:p>
      <w:pPr>
        <w:pStyle w:val="ListBullet"/>
      </w:pPr>
      <w:r>
        <w:t>Use outbox or equivalent patterns when event reliability matters.</w:t>
      </w:r>
    </w:p>
    <w:p>
      <w:pPr>
        <w:pStyle w:val="ListBullet"/>
      </w:pPr>
      <w:r>
        <w:t>Do not update projections, caches, or search indexes as if they were the record of truth.</w:t>
      </w:r>
    </w:p>
    <w:p>
      <w:pPr>
        <w:pStyle w:val="ListBullet"/>
      </w:pPr>
      <w:r>
        <w:t>Define idempotency for externally triggered or retryable operations.</w:t>
      </w:r>
    </w:p>
    <w:p>
      <w:pPr>
        <w:pStyle w:val="Heading1"/>
      </w:pPr>
      <w:r>
        <w:t>12. New Project Procedure</w:t>
      </w:r>
    </w:p>
    <w:p>
      <w:pPr>
        <w:pStyle w:val="ListNumber"/>
      </w:pPr>
      <w:r>
        <w:t>Read the construction doctrine and product/feature context.</w:t>
      </w:r>
    </w:p>
    <w:p>
      <w:pPr>
        <w:pStyle w:val="ListNumber"/>
      </w:pPr>
      <w:r>
        <w:t>Identify initial domain modules from the feature map.</w:t>
      </w:r>
    </w:p>
    <w:p>
      <w:pPr>
        <w:pStyle w:val="ListNumber"/>
      </w:pPr>
      <w:r>
        <w:t>Create the domain adapter and inventories under /docs/specs/.</w:t>
      </w:r>
    </w:p>
    <w:p>
      <w:pPr>
        <w:pStyle w:val="ListNumber"/>
      </w:pPr>
      <w:r>
        <w:t>Define the first reviewable vertical slice across Core + Data + API + UI + Test.</w:t>
      </w:r>
    </w:p>
    <w:p>
      <w:pPr>
        <w:pStyle w:val="ListNumber"/>
      </w:pPr>
      <w:r>
        <w:t>Define ACL/Security for exposed or privileged features.</w:t>
      </w:r>
    </w:p>
    <w:p>
      <w:pPr>
        <w:pStyle w:val="ListNumber"/>
      </w:pPr>
      <w:r>
        <w:t>Build the minimum core scaffolding required for real features, not abstract architecture theater.</w:t>
      </w:r>
    </w:p>
    <w:p>
      <w:pPr>
        <w:pStyle w:val="ListNumber"/>
      </w:pPr>
      <w:r>
        <w:t>Keep the UI review surface available early so the human architect can inspect behavior.</w:t>
      </w:r>
    </w:p>
    <w:p>
      <w:pPr>
        <w:pStyle w:val="Heading1"/>
      </w:pPr>
      <w:r>
        <w:t>13. Existing / Refactoring Procedure</w:t>
      </w:r>
    </w:p>
    <w:p>
      <w:pPr>
        <w:pStyle w:val="ListNumber"/>
      </w:pPr>
      <w:r>
        <w:t>Inspect current controllers, services, models, UI handlers, jobs, APIs, data access, and tests.</w:t>
      </w:r>
    </w:p>
    <w:p>
      <w:pPr>
        <w:pStyle w:val="ListNumber"/>
      </w:pPr>
      <w:r>
        <w:t>Inventory where business logic currently lives.</w:t>
      </w:r>
    </w:p>
    <w:p>
      <w:pPr>
        <w:pStyle w:val="ListNumber"/>
      </w:pPr>
      <w:r>
        <w:t>Preserve valid behavior before moving code.</w:t>
      </w:r>
    </w:p>
    <w:p>
      <w:pPr>
        <w:pStyle w:val="ListNumber"/>
      </w:pPr>
      <w:r>
        <w:t>Add characterization tests where feasible.</w:t>
      </w:r>
    </w:p>
    <w:p>
      <w:pPr>
        <w:pStyle w:val="ListNumber"/>
      </w:pPr>
      <w:r>
        <w:t>Extract one controlled use case or workflow at a time.</w:t>
      </w:r>
    </w:p>
    <w:p>
      <w:pPr>
        <w:pStyle w:val="ListNumber"/>
      </w:pPr>
      <w:r>
        <w:t>Keep existing UI/API/data compatibility stable unless a migration is explicitly approved.</w:t>
      </w:r>
    </w:p>
    <w:p>
      <w:pPr>
        <w:pStyle w:val="ListNumber"/>
      </w:pPr>
      <w:r>
        <w:t>Update inventories and record deferred technical debt.</w:t>
      </w:r>
    </w:p>
    <w:p>
      <w:pPr>
        <w:pStyle w:val="Heading1"/>
      </w:pPr>
      <w:r>
        <w:t>14. Documentation and Inventory Package</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r/>
            <w:r>
              <w:rPr>
                <w:b/>
                <w:sz w:val="17"/>
              </w:rPr>
              <w:t>File</w:t>
            </w:r>
          </w:p>
        </w:tc>
        <w:tc>
          <w:tcPr>
            <w:tcW w:type="dxa" w:w="5083"/>
            <w:shd w:fill="D9EAF7"/>
            <w:vAlign w:val="center"/>
          </w:tcPr>
          <w:p>
            <w:r/>
            <w:r>
              <w:rPr>
                <w:b/>
                <w:sz w:val="17"/>
              </w:rPr>
              <w:t>Purpose</w:t>
            </w:r>
          </w:p>
        </w:tc>
      </w:tr>
      <w:tr>
        <w:tc>
          <w:tcPr>
            <w:tcW w:type="dxa" w:w="5083"/>
            <w:vAlign w:val="top"/>
          </w:tcPr>
          <w:p>
            <w:r/>
            <w:r>
              <w:rPr>
                <w:b w:val="0"/>
                <w:sz w:val="17"/>
              </w:rPr>
              <w:t>/docs/specs/domain-foundation-reference.md</w:t>
            </w:r>
          </w:p>
        </w:tc>
        <w:tc>
          <w:tcPr>
            <w:tcW w:type="dxa" w:w="5083"/>
            <w:vAlign w:val="top"/>
          </w:tcPr>
          <w:p>
            <w:r/>
            <w:r>
              <w:rPr>
                <w:b w:val="0"/>
                <w:sz w:val="17"/>
              </w:rPr>
              <w:t>Repository-facing source of truth for domain/application-core rules.</w:t>
            </w:r>
          </w:p>
        </w:tc>
      </w:tr>
      <w:tr>
        <w:tc>
          <w:tcPr>
            <w:tcW w:type="dxa" w:w="5083"/>
            <w:vAlign w:val="top"/>
          </w:tcPr>
          <w:p>
            <w:r/>
            <w:r>
              <w:rPr>
                <w:b w:val="0"/>
                <w:sz w:val="17"/>
              </w:rPr>
              <w:t>/docs/specs/domain-adapter.md</w:t>
            </w:r>
          </w:p>
        </w:tc>
        <w:tc>
          <w:tcPr>
            <w:tcW w:type="dxa" w:w="5083"/>
            <w:vAlign w:val="top"/>
          </w:tcPr>
          <w:p>
            <w:r/>
            <w:r>
              <w:rPr>
                <w:b w:val="0"/>
                <w:sz w:val="17"/>
              </w:rPr>
              <w:t>Maps the universal domain model to the actual project stack and folders.</w:t>
            </w:r>
          </w:p>
        </w:tc>
      </w:tr>
      <w:tr>
        <w:tc>
          <w:tcPr>
            <w:tcW w:type="dxa" w:w="5083"/>
            <w:vAlign w:val="top"/>
          </w:tcPr>
          <w:p>
            <w:r/>
            <w:r>
              <w:rPr>
                <w:b w:val="0"/>
                <w:sz w:val="17"/>
              </w:rPr>
              <w:t>/docs/specs/domain-module-inventory.md</w:t>
            </w:r>
          </w:p>
        </w:tc>
        <w:tc>
          <w:tcPr>
            <w:tcW w:type="dxa" w:w="5083"/>
            <w:vAlign w:val="top"/>
          </w:tcPr>
          <w:p>
            <w:r/>
            <w:r>
              <w:rPr>
                <w:b w:val="0"/>
                <w:sz w:val="17"/>
              </w:rPr>
              <w:t>Tracks domain modules and their cross-layer relationships.</w:t>
            </w:r>
          </w:p>
        </w:tc>
      </w:tr>
      <w:tr>
        <w:tc>
          <w:tcPr>
            <w:tcW w:type="dxa" w:w="5083"/>
            <w:vAlign w:val="top"/>
          </w:tcPr>
          <w:p>
            <w:r/>
            <w:r>
              <w:rPr>
                <w:b w:val="0"/>
                <w:sz w:val="17"/>
              </w:rPr>
              <w:t>/docs/specs/domain-usecase-inventory.md</w:t>
            </w:r>
          </w:p>
        </w:tc>
        <w:tc>
          <w:tcPr>
            <w:tcW w:type="dxa" w:w="5083"/>
            <w:vAlign w:val="top"/>
          </w:tcPr>
          <w:p>
            <w:r/>
            <w:r>
              <w:rPr>
                <w:b w:val="0"/>
                <w:sz w:val="17"/>
              </w:rPr>
              <w:t>Tracks commands, queries, workflows, triggers, results, and tests.</w:t>
            </w:r>
          </w:p>
        </w:tc>
      </w:tr>
      <w:tr>
        <w:tc>
          <w:tcPr>
            <w:tcW w:type="dxa" w:w="5083"/>
            <w:vAlign w:val="top"/>
          </w:tcPr>
          <w:p>
            <w:r/>
            <w:r>
              <w:rPr>
                <w:b w:val="0"/>
                <w:sz w:val="17"/>
              </w:rPr>
              <w:t>/docs/specs/domain-workflow-inventory.md</w:t>
            </w:r>
          </w:p>
        </w:tc>
        <w:tc>
          <w:tcPr>
            <w:tcW w:type="dxa" w:w="5083"/>
            <w:vAlign w:val="top"/>
          </w:tcPr>
          <w:p>
            <w:r/>
            <w:r>
              <w:rPr>
                <w:b w:val="0"/>
                <w:sz w:val="17"/>
              </w:rPr>
              <w:t>Tracks lifecycle states and transitions.</w:t>
            </w:r>
          </w:p>
        </w:tc>
      </w:tr>
      <w:tr>
        <w:tc>
          <w:tcPr>
            <w:tcW w:type="dxa" w:w="5083"/>
            <w:vAlign w:val="top"/>
          </w:tcPr>
          <w:p>
            <w:r/>
            <w:r>
              <w:rPr>
                <w:b w:val="0"/>
                <w:sz w:val="17"/>
              </w:rPr>
              <w:t>/docs/specs/domain-event-inventory.md</w:t>
            </w:r>
          </w:p>
        </w:tc>
        <w:tc>
          <w:tcPr>
            <w:tcW w:type="dxa" w:w="5083"/>
            <w:vAlign w:val="top"/>
          </w:tcPr>
          <w:p>
            <w:r/>
            <w:r>
              <w:rPr>
                <w:b w:val="0"/>
                <w:sz w:val="17"/>
              </w:rPr>
              <w:t>Tracks domain events, versions, contracts, consumers, and idempotency.</w:t>
            </w:r>
          </w:p>
        </w:tc>
      </w:tr>
      <w:tr>
        <w:tc>
          <w:tcPr>
            <w:tcW w:type="dxa" w:w="5083"/>
            <w:vAlign w:val="top"/>
          </w:tcPr>
          <w:p>
            <w:r/>
            <w:r>
              <w:rPr>
                <w:b w:val="0"/>
                <w:sz w:val="17"/>
              </w:rPr>
              <w:t>/docs/specs/domain-rule-inventory.md</w:t>
            </w:r>
          </w:p>
        </w:tc>
        <w:tc>
          <w:tcPr>
            <w:tcW w:type="dxa" w:w="5083"/>
            <w:vAlign w:val="top"/>
          </w:tcPr>
          <w:p>
            <w:r/>
            <w:r>
              <w:rPr>
                <w:b w:val="0"/>
                <w:sz w:val="17"/>
              </w:rPr>
              <w:t>Tracks business rules and where they are enforced.</w:t>
            </w:r>
          </w:p>
        </w:tc>
      </w:tr>
      <w:tr>
        <w:tc>
          <w:tcPr>
            <w:tcW w:type="dxa" w:w="5083"/>
            <w:vAlign w:val="top"/>
          </w:tcPr>
          <w:p>
            <w:r/>
            <w:r>
              <w:rPr>
                <w:b w:val="0"/>
                <w:sz w:val="17"/>
              </w:rPr>
              <w:t>/docs/specs/domain-test-matrix.md</w:t>
            </w:r>
          </w:p>
        </w:tc>
        <w:tc>
          <w:tcPr>
            <w:tcW w:type="dxa" w:w="5083"/>
            <w:vAlign w:val="top"/>
          </w:tcPr>
          <w:p>
            <w:r/>
            <w:r>
              <w:rPr>
                <w:b w:val="0"/>
                <w:sz w:val="17"/>
              </w:rPr>
              <w:t>Tracks use-case, workflow, event, API, UI, ACL, and data test coverage.</w:t>
            </w:r>
          </w:p>
        </w:tc>
      </w:tr>
      <w:tr>
        <w:tc>
          <w:tcPr>
            <w:tcW w:type="dxa" w:w="5083"/>
            <w:vAlign w:val="top"/>
          </w:tcPr>
          <w:p>
            <w:r/>
            <w:r>
              <w:rPr>
                <w:b w:val="0"/>
                <w:sz w:val="17"/>
              </w:rPr>
              <w:t>/docs/specs/domain-review-checklist.md</w:t>
            </w:r>
          </w:p>
        </w:tc>
        <w:tc>
          <w:tcPr>
            <w:tcW w:type="dxa" w:w="5083"/>
            <w:vAlign w:val="top"/>
          </w:tcPr>
          <w:p>
            <w:r/>
            <w:r>
              <w:rPr>
                <w:b w:val="0"/>
                <w:sz w:val="17"/>
              </w:rPr>
              <w:t>Review checklist for accepting Application Core work.</w:t>
            </w:r>
          </w:p>
        </w:tc>
      </w:tr>
    </w:tbl>
    <w:p/>
    <w:p>
      <w:pPr>
        <w:pStyle w:val="Heading1"/>
      </w:pPr>
      <w:r>
        <w:t>15. AI Coding Agent Enforcement</w:t>
      </w:r>
    </w:p>
    <w:p>
      <w:r>
        <w:t>AI Coding Agents must treat this foundation as an operating constraint. They may adapt syntax, folder names, and implementation mechanics to the repository stack, but they may not bypass the placement rules, dependency rules, inventory requirements, or vertical-slice doctrine.</w:t>
      </w:r>
    </w:p>
    <w:p>
      <w:pPr>
        <w:pStyle w:val="ListBullet"/>
      </w:pPr>
      <w:r>
        <w:t>Read AGENTS.md, construction doctrine, domain foundation, domain adapter, inventories, roadmap, ADRs, and existing implementation before core work.</w:t>
      </w:r>
    </w:p>
    <w:p>
      <w:pPr>
        <w:pStyle w:val="ListBullet"/>
      </w:pPr>
      <w:r>
        <w:t>Do not create business logic in the nearest convenient file.</w:t>
      </w:r>
    </w:p>
    <w:p>
      <w:pPr>
        <w:pStyle w:val="ListBullet"/>
      </w:pPr>
      <w:r>
        <w:t>Do not refactor working behavior without preserving compatibility and tests.</w:t>
      </w:r>
    </w:p>
    <w:p>
      <w:pPr>
        <w:pStyle w:val="ListBullet"/>
      </w:pPr>
      <w:r>
        <w:t>Do not call backend-only scaffolding a completed feature when the feature needs UI or API review.</w:t>
      </w:r>
    </w:p>
    <w:p>
      <w:pPr>
        <w:pStyle w:val="ListBullet"/>
      </w:pPr>
      <w:r>
        <w:t>Report modules, use cases, workflows, events, tests, and deferred risks at the end of each implementation pass.</w:t>
      </w:r>
    </w:p>
    <w:p>
      <w:pPr>
        <w:pStyle w:val="Heading1"/>
      </w:pPr>
      <w:r>
        <w:t>16. Minimum Acceptable Application Core</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center"/>
          </w:tcPr>
          <w:p>
            <w:r/>
            <w:r>
              <w:rPr>
                <w:b/>
                <w:sz w:val="17"/>
              </w:rPr>
              <w:t>Requirement</w:t>
            </w:r>
          </w:p>
        </w:tc>
        <w:tc>
          <w:tcPr>
            <w:tcW w:type="dxa" w:w="5083"/>
            <w:shd w:fill="D9EAF7"/>
            <w:vAlign w:val="center"/>
          </w:tcPr>
          <w:p>
            <w:r/>
            <w:r>
              <w:rPr>
                <w:b/>
                <w:sz w:val="17"/>
              </w:rPr>
              <w:t>Acceptance Evidence</w:t>
            </w:r>
          </w:p>
        </w:tc>
      </w:tr>
      <w:tr>
        <w:tc>
          <w:tcPr>
            <w:tcW w:type="dxa" w:w="5083"/>
            <w:vAlign w:val="top"/>
          </w:tcPr>
          <w:p>
            <w:r/>
            <w:r>
              <w:rPr>
                <w:b w:val="0"/>
                <w:sz w:val="17"/>
              </w:rPr>
              <w:t>Documented modules</w:t>
            </w:r>
          </w:p>
        </w:tc>
        <w:tc>
          <w:tcPr>
            <w:tcW w:type="dxa" w:w="5083"/>
            <w:vAlign w:val="top"/>
          </w:tcPr>
          <w:p>
            <w:r/>
            <w:r>
              <w:rPr>
                <w:b w:val="0"/>
                <w:sz w:val="17"/>
              </w:rPr>
              <w:t>Module inventory exists and maps modules to product features.</w:t>
            </w:r>
          </w:p>
        </w:tc>
      </w:tr>
      <w:tr>
        <w:tc>
          <w:tcPr>
            <w:tcW w:type="dxa" w:w="5083"/>
            <w:vAlign w:val="top"/>
          </w:tcPr>
          <w:p>
            <w:r/>
            <w:r>
              <w:rPr>
                <w:b w:val="0"/>
                <w:sz w:val="17"/>
              </w:rPr>
              <w:t>Explicit use case layer</w:t>
            </w:r>
          </w:p>
        </w:tc>
        <w:tc>
          <w:tcPr>
            <w:tcW w:type="dxa" w:w="5083"/>
            <w:vAlign w:val="top"/>
          </w:tcPr>
          <w:p>
            <w:r/>
            <w:r>
              <w:rPr>
                <w:b w:val="0"/>
                <w:sz w:val="17"/>
              </w:rPr>
              <w:t>At least one feature is implemented through a named use case/application service.</w:t>
            </w:r>
          </w:p>
        </w:tc>
      </w:tr>
      <w:tr>
        <w:tc>
          <w:tcPr>
            <w:tcW w:type="dxa" w:w="5083"/>
            <w:vAlign w:val="top"/>
          </w:tcPr>
          <w:p>
            <w:r/>
            <w:r>
              <w:rPr>
                <w:b w:val="0"/>
                <w:sz w:val="17"/>
              </w:rPr>
              <w:t>Boundary separation</w:t>
            </w:r>
          </w:p>
        </w:tc>
        <w:tc>
          <w:tcPr>
            <w:tcW w:type="dxa" w:w="5083"/>
            <w:vAlign w:val="top"/>
          </w:tcPr>
          <w:p>
            <w:r/>
            <w:r>
              <w:rPr>
                <w:b w:val="0"/>
                <w:sz w:val="17"/>
              </w:rPr>
              <w:t>Controllers/API/UI/database code call into core instead of owning business rules.</w:t>
            </w:r>
          </w:p>
        </w:tc>
      </w:tr>
      <w:tr>
        <w:tc>
          <w:tcPr>
            <w:tcW w:type="dxa" w:w="5083"/>
            <w:vAlign w:val="top"/>
          </w:tcPr>
          <w:p>
            <w:r/>
            <w:r>
              <w:rPr>
                <w:b w:val="0"/>
                <w:sz w:val="17"/>
              </w:rPr>
              <w:t>Structured results/errors</w:t>
            </w:r>
          </w:p>
        </w:tc>
        <w:tc>
          <w:tcPr>
            <w:tcW w:type="dxa" w:w="5083"/>
            <w:vAlign w:val="top"/>
          </w:tcPr>
          <w:p>
            <w:r/>
            <w:r>
              <w:rPr>
                <w:b w:val="0"/>
                <w:sz w:val="17"/>
              </w:rPr>
              <w:t>Use cases return transport-neutral outcomes.</w:t>
            </w:r>
          </w:p>
        </w:tc>
      </w:tr>
      <w:tr>
        <w:tc>
          <w:tcPr>
            <w:tcW w:type="dxa" w:w="5083"/>
            <w:vAlign w:val="top"/>
          </w:tcPr>
          <w:p>
            <w:r/>
            <w:r>
              <w:rPr>
                <w:b w:val="0"/>
                <w:sz w:val="17"/>
              </w:rPr>
              <w:t>Testable rules</w:t>
            </w:r>
          </w:p>
        </w:tc>
        <w:tc>
          <w:tcPr>
            <w:tcW w:type="dxa" w:w="5083"/>
            <w:vAlign w:val="top"/>
          </w:tcPr>
          <w:p>
            <w:r/>
            <w:r>
              <w:rPr>
                <w:b w:val="0"/>
                <w:sz w:val="17"/>
              </w:rPr>
              <w:t>Core business behavior has tests, including negative cases.</w:t>
            </w:r>
          </w:p>
        </w:tc>
      </w:tr>
      <w:tr>
        <w:tc>
          <w:tcPr>
            <w:tcW w:type="dxa" w:w="5083"/>
            <w:vAlign w:val="top"/>
          </w:tcPr>
          <w:p>
            <w:r/>
            <w:r>
              <w:rPr>
                <w:b w:val="0"/>
                <w:sz w:val="17"/>
              </w:rPr>
              <w:t>Workflow enforcement</w:t>
            </w:r>
          </w:p>
        </w:tc>
        <w:tc>
          <w:tcPr>
            <w:tcW w:type="dxa" w:w="5083"/>
            <w:vAlign w:val="top"/>
          </w:tcPr>
          <w:p>
            <w:r/>
            <w:r>
              <w:rPr>
                <w:b w:val="0"/>
                <w:sz w:val="17"/>
              </w:rPr>
              <w:t>Lifecycle states/transitions are explicit when applicable.</w:t>
            </w:r>
          </w:p>
        </w:tc>
      </w:tr>
      <w:tr>
        <w:tc>
          <w:tcPr>
            <w:tcW w:type="dxa" w:w="5083"/>
            <w:vAlign w:val="top"/>
          </w:tcPr>
          <w:p>
            <w:r/>
            <w:r>
              <w:rPr>
                <w:b w:val="0"/>
                <w:sz w:val="17"/>
              </w:rPr>
              <w:t>Ports/adapters</w:t>
            </w:r>
          </w:p>
        </w:tc>
        <w:tc>
          <w:tcPr>
            <w:tcW w:type="dxa" w:w="5083"/>
            <w:vAlign w:val="top"/>
          </w:tcPr>
          <w:p>
            <w:r/>
            <w:r>
              <w:rPr>
                <w:b w:val="0"/>
                <w:sz w:val="17"/>
              </w:rPr>
              <w:t>Infrastructure dependencies are isolated where meaningful.</w:t>
            </w:r>
          </w:p>
        </w:tc>
      </w:tr>
      <w:tr>
        <w:tc>
          <w:tcPr>
            <w:tcW w:type="dxa" w:w="5083"/>
            <w:vAlign w:val="top"/>
          </w:tcPr>
          <w:p>
            <w:r/>
            <w:r>
              <w:rPr>
                <w:b w:val="0"/>
                <w:sz w:val="17"/>
              </w:rPr>
              <w:t>Vertical-slice alignment</w:t>
            </w:r>
          </w:p>
        </w:tc>
        <w:tc>
          <w:tcPr>
            <w:tcW w:type="dxa" w:w="5083"/>
            <w:vAlign w:val="top"/>
          </w:tcPr>
          <w:p>
            <w:r/>
            <w:r>
              <w:rPr>
                <w:b w:val="0"/>
                <w:sz w:val="17"/>
              </w:rPr>
              <w:t>Core changes coordinate with Data, API, UI, ACL, and Tests.</w:t>
            </w:r>
          </w:p>
        </w:tc>
      </w:tr>
    </w:tbl>
    <w:p/>
    <w:p>
      <w:pPr>
        <w:pStyle w:val="Heading1"/>
      </w:pPr>
      <w:r>
        <w:t>17. Final Review Position</w:t>
      </w:r>
    </w:p>
    <w:p>
      <w:r>
        <w:t>The Application Core / Domain Foundation should be considered the central architectural foundation for feature behavior. The prior UI, Data, API, and Access Control foundations are complementary and remain valid. This foundation tells the AI Coding Agent where product logic belongs and how it must be delivered so the human architect can inspect, test, and direct the system through vertical feature slices rather than disconnected scaffolding.</w:t>
      </w:r>
    </w:p>
    <w:sectPr w:rsidR="00FC693F" w:rsidRPr="0006063C" w:rsidSect="00034616">
      <w:footerReference w:type="default" r:id="rId9"/>
      <w:pgSz w:w="12240" w:h="15840"/>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Universal Application Core / Domain Foundation Manual | Version 1.0-Universal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D5B8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