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UNIVERSAL DELIVERY / DEVOPS / DEPLOYMENT FOUNDATION</w:t>
      </w:r>
    </w:p>
    <w:p>
      <w:pPr>
        <w:jc w:val="center"/>
      </w:pPr>
      <w:r>
        <w:rPr>
          <w:i/>
          <w:sz w:val="20"/>
        </w:rPr>
        <w:t>Human and AI Implementation Manual | Version 1.0-Universal</w:t>
      </w:r>
    </w:p>
    <w:p>
      <w:pPr>
        <w:pStyle w:val="Heading1"/>
      </w:pPr>
      <w:r>
        <w:t>1. Executive Summary</w:t>
      </w:r>
    </w:p>
    <w:p>
      <w:r>
        <w:t>The Delivery / DevOps / Deployment Foundation defines how an application is set up, configured, packaged, released, deployed, migrated, rolled back, backed up, restored, started, and validated across environments. It is deliberately infrastructure-agnostic. It supports shared hosting, VPS, dedicated servers, Docker, Kubernetes, PaaS, serverless, static/hybrid deployments, air-gapped installs, and open-source distribution without forcing any one deployment model onto every project.</w:t>
      </w:r>
    </w:p>
    <w:p>
      <w:r>
        <w:t>The key design decision is the Project Operating Profile. Instead of asking AI Coding Agents to infer deployment constraints from scattered code, the profile declares the current product stage, distribution model, deployment target, exposure, tenancy, identity model, data sensitivity, runtime model, current build target, and future target. Delivery, security, runtime, testing, and observability decisions then follow that profile.</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
              <w:rPr>
                <w:rFonts w:ascii="Arial" w:hAnsi="Arial"/>
                <w:b/>
                <w:sz w:val="16"/>
              </w:rPr>
              <w:t>Core idea</w:t>
            </w:r>
          </w:p>
        </w:tc>
        <w:tc>
          <w:tcPr>
            <w:tcW w:type="dxa" w:w="5083"/>
            <w:shd w:fill="D9EAF7"/>
            <w:vAlign w:val="center"/>
          </w:tcPr>
          <w:p>
            <w:r/>
            <w:r>
              <w:rPr>
                <w:rFonts w:ascii="Arial" w:hAnsi="Arial"/>
                <w:b/>
                <w:sz w:val="16"/>
              </w:rPr>
              <w:t>Meaning</w:t>
            </w:r>
          </w:p>
        </w:tc>
      </w:tr>
      <w:tr>
        <w:tc>
          <w:tcPr>
            <w:tcW w:type="dxa" w:w="5083"/>
            <w:vAlign w:val="top"/>
          </w:tcPr>
          <w:p>
            <w:r/>
            <w:r>
              <w:rPr>
                <w:rFonts w:ascii="Arial" w:hAnsi="Arial"/>
                <w:b w:val="0"/>
                <w:sz w:val="16"/>
              </w:rPr>
              <w:t>Operating profile first</w:t>
            </w:r>
          </w:p>
        </w:tc>
        <w:tc>
          <w:tcPr>
            <w:tcW w:type="dxa" w:w="5083"/>
            <w:vAlign w:val="top"/>
          </w:tcPr>
          <w:p>
            <w:r/>
            <w:r>
              <w:rPr>
                <w:rFonts w:ascii="Arial" w:hAnsi="Arial"/>
                <w:b w:val="0"/>
                <w:sz w:val="16"/>
              </w:rPr>
              <w:t>Deployment choices must follow product stage, distribution model, exposure, infrastructure target, and runtime capability.</w:t>
            </w:r>
          </w:p>
        </w:tc>
      </w:tr>
      <w:tr>
        <w:tc>
          <w:tcPr>
            <w:tcW w:type="dxa" w:w="5083"/>
            <w:vAlign w:val="top"/>
          </w:tcPr>
          <w:p>
            <w:r/>
            <w:r>
              <w:rPr>
                <w:rFonts w:ascii="Arial" w:hAnsi="Arial"/>
                <w:b w:val="0"/>
                <w:sz w:val="16"/>
              </w:rPr>
              <w:t>Infrastructure agnostic</w:t>
            </w:r>
          </w:p>
        </w:tc>
        <w:tc>
          <w:tcPr>
            <w:tcW w:type="dxa" w:w="5083"/>
            <w:vAlign w:val="top"/>
          </w:tcPr>
          <w:p>
            <w:r/>
            <w:r>
              <w:rPr>
                <w:rFonts w:ascii="Arial" w:hAnsi="Arial"/>
                <w:b w:val="0"/>
                <w:sz w:val="16"/>
              </w:rPr>
              <w:t>The same application may run on shared hosting, VPS, Docker, Kubernetes, or on-prem if its adapter and profile allow it.</w:t>
            </w:r>
          </w:p>
        </w:tc>
      </w:tr>
      <w:tr>
        <w:tc>
          <w:tcPr>
            <w:tcW w:type="dxa" w:w="5083"/>
            <w:vAlign w:val="top"/>
          </w:tcPr>
          <w:p>
            <w:r/>
            <w:r>
              <w:rPr>
                <w:rFonts w:ascii="Arial" w:hAnsi="Arial"/>
                <w:b w:val="0"/>
                <w:sz w:val="16"/>
              </w:rPr>
              <w:t>Delivery is not DevOps theater</w:t>
            </w:r>
          </w:p>
        </w:tc>
        <w:tc>
          <w:tcPr>
            <w:tcW w:type="dxa" w:w="5083"/>
            <w:vAlign w:val="top"/>
          </w:tcPr>
          <w:p>
            <w:r/>
            <w:r>
              <w:rPr>
                <w:rFonts w:ascii="Arial" w:hAnsi="Arial"/>
                <w:b w:val="0"/>
                <w:sz w:val="16"/>
              </w:rPr>
              <w:t>Do not add Docker, Kubernetes, CI/CD, managed queues, or cloud services unless the project actually needs them.</w:t>
            </w:r>
          </w:p>
        </w:tc>
      </w:tr>
      <w:tr>
        <w:tc>
          <w:tcPr>
            <w:tcW w:type="dxa" w:w="5083"/>
            <w:vAlign w:val="top"/>
          </w:tcPr>
          <w:p>
            <w:r/>
            <w:r>
              <w:rPr>
                <w:rFonts w:ascii="Arial" w:hAnsi="Arial"/>
                <w:b w:val="0"/>
                <w:sz w:val="16"/>
              </w:rPr>
              <w:t>Reproducibility</w:t>
            </w:r>
          </w:p>
        </w:tc>
        <w:tc>
          <w:tcPr>
            <w:tcW w:type="dxa" w:w="5083"/>
            <w:vAlign w:val="top"/>
          </w:tcPr>
          <w:p>
            <w:r/>
            <w:r>
              <w:rPr>
                <w:rFonts w:ascii="Arial" w:hAnsi="Arial"/>
                <w:b w:val="0"/>
                <w:sz w:val="16"/>
              </w:rPr>
              <w:t>A project should be installable, configurable, migrated, seeded, tested, deployed, and recovered from documented steps.</w:t>
            </w:r>
          </w:p>
        </w:tc>
      </w:tr>
      <w:tr>
        <w:tc>
          <w:tcPr>
            <w:tcW w:type="dxa" w:w="5083"/>
            <w:vAlign w:val="top"/>
          </w:tcPr>
          <w:p>
            <w:r/>
            <w:r>
              <w:rPr>
                <w:rFonts w:ascii="Arial" w:hAnsi="Arial"/>
                <w:b w:val="0"/>
                <w:sz w:val="16"/>
              </w:rPr>
              <w:t>Security handoff</w:t>
            </w:r>
          </w:p>
        </w:tc>
        <w:tc>
          <w:tcPr>
            <w:tcW w:type="dxa" w:w="5083"/>
            <w:vAlign w:val="top"/>
          </w:tcPr>
          <w:p>
            <w:r/>
            <w:r>
              <w:rPr>
                <w:rFonts w:ascii="Arial" w:hAnsi="Arial"/>
                <w:b w:val="0"/>
                <w:sz w:val="16"/>
              </w:rPr>
              <w:t>Security consumes the operating profile; Delivery defines the operating reality.</w:t>
            </w:r>
          </w:p>
        </w:tc>
      </w:tr>
    </w:tbl>
    <w:p/>
    <w:p>
      <w:pPr>
        <w:pStyle w:val="Heading1"/>
      </w:pPr>
      <w:r>
        <w:t>2. Scope and Boundaries</w:t>
      </w:r>
    </w:p>
    <w:p>
      <w:r>
        <w:t>This foundation covers delivery behavior, not business logic. It coordinates setup, environment configuration, build artifacts, deployment targets, release procedures, migrations, rollbacks, backups, restores, runtime startup, smoke tests, and operator documentation.</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
              <w:rPr>
                <w:rFonts w:ascii="Arial" w:hAnsi="Arial"/>
                <w:b/>
                <w:sz w:val="16"/>
              </w:rPr>
              <w:t>In scope</w:t>
            </w:r>
          </w:p>
        </w:tc>
        <w:tc>
          <w:tcPr>
            <w:tcW w:type="dxa" w:w="5083"/>
            <w:shd w:fill="D9EAF7"/>
            <w:vAlign w:val="center"/>
          </w:tcPr>
          <w:p>
            <w:r/>
            <w:r>
              <w:rPr>
                <w:rFonts w:ascii="Arial" w:hAnsi="Arial"/>
                <w:b/>
                <w:sz w:val="16"/>
              </w:rPr>
              <w:t>Out of scope</w:t>
            </w:r>
          </w:p>
        </w:tc>
      </w:tr>
      <w:tr>
        <w:tc>
          <w:tcPr>
            <w:tcW w:type="dxa" w:w="5083"/>
            <w:vAlign w:val="top"/>
          </w:tcPr>
          <w:p>
            <w:r/>
            <w:r>
              <w:rPr>
                <w:rFonts w:ascii="Arial" w:hAnsi="Arial"/>
                <w:b w:val="0"/>
                <w:sz w:val="16"/>
              </w:rPr>
              <w:t>Environment model, setup, build, release, deployment, config, secrets handling, backup, restore, migration execution, rollback, smoke tests</w:t>
            </w:r>
          </w:p>
        </w:tc>
        <w:tc>
          <w:tcPr>
            <w:tcW w:type="dxa" w:w="5083"/>
            <w:vAlign w:val="top"/>
          </w:tcPr>
          <w:p>
            <w:r/>
            <w:r>
              <w:rPr>
                <w:rFonts w:ascii="Arial" w:hAnsi="Arial"/>
                <w:b w:val="0"/>
                <w:sz w:val="16"/>
              </w:rPr>
              <w:t>Business rules, UI component design, data modeling decisions, API contract design, authorization policy, runtime job behavior, observability taxonomy</w:t>
            </w:r>
          </w:p>
        </w:tc>
      </w:tr>
      <w:tr>
        <w:tc>
          <w:tcPr>
            <w:tcW w:type="dxa" w:w="5083"/>
            <w:vAlign w:val="top"/>
          </w:tcPr>
          <w:p>
            <w:r/>
            <w:r>
              <w:rPr>
                <w:rFonts w:ascii="Arial" w:hAnsi="Arial"/>
                <w:b w:val="0"/>
                <w:sz w:val="16"/>
              </w:rPr>
              <w:t>Mapping deployment targets such as shared hosting, VPS, Docker, Kubernetes, PaaS, serverless, open-source installs</w:t>
            </w:r>
          </w:p>
        </w:tc>
        <w:tc>
          <w:tcPr>
            <w:tcW w:type="dxa" w:w="5083"/>
            <w:vAlign w:val="top"/>
          </w:tcPr>
          <w:p>
            <w:r/>
            <w:r>
              <w:rPr>
                <w:rFonts w:ascii="Arial" w:hAnsi="Arial"/>
                <w:b w:val="0"/>
                <w:sz w:val="16"/>
              </w:rPr>
              <w:t>Forcing all projects into one deployment target or infrastructure philosophy</w:t>
            </w:r>
          </w:p>
        </w:tc>
      </w:tr>
      <w:tr>
        <w:tc>
          <w:tcPr>
            <w:tcW w:type="dxa" w:w="5083"/>
            <w:vAlign w:val="top"/>
          </w:tcPr>
          <w:p>
            <w:r/>
            <w:r>
              <w:rPr>
                <w:rFonts w:ascii="Arial" w:hAnsi="Arial"/>
                <w:b w:val="0"/>
                <w:sz w:val="16"/>
              </w:rPr>
              <w:t>Documenting and testing how the application is moved across environments</w:t>
            </w:r>
          </w:p>
        </w:tc>
        <w:tc>
          <w:tcPr>
            <w:tcW w:type="dxa" w:w="5083"/>
            <w:vAlign w:val="top"/>
          </w:tcPr>
          <w:p>
            <w:r/>
            <w:r>
              <w:rPr>
                <w:rFonts w:ascii="Arial" w:hAnsi="Arial"/>
                <w:b w:val="0"/>
                <w:sz w:val="16"/>
              </w:rPr>
              <w:t>Replacing core architecture with infrastructure-specific assumptions</w:t>
            </w:r>
          </w:p>
        </w:tc>
      </w:tr>
    </w:tbl>
    <w:p/>
    <w:p>
      <w:pPr>
        <w:pStyle w:val="Heading1"/>
      </w:pPr>
      <w:r>
        <w:t>3. Project Operating Profile</w:t>
      </w:r>
    </w:p>
    <w:p>
      <w:r>
        <w:t>The Project Operating Profile is the simple decision chain that prevents delivery and security confusion. It is not a complex configuration engine. It is a concise Markdown declaration that tells AI agents and humans what operating assumptions govern the current project phase.</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
              <w:rPr>
                <w:rFonts w:ascii="Arial" w:hAnsi="Arial"/>
                <w:b/>
                <w:sz w:val="16"/>
              </w:rPr>
              <w:t>Profile field</w:t>
            </w:r>
          </w:p>
        </w:tc>
        <w:tc>
          <w:tcPr>
            <w:tcW w:type="dxa" w:w="5083"/>
            <w:shd w:fill="D9EAF7"/>
            <w:vAlign w:val="center"/>
          </w:tcPr>
          <w:p>
            <w:r/>
            <w:r>
              <w:rPr>
                <w:rFonts w:ascii="Arial" w:hAnsi="Arial"/>
                <w:b/>
                <w:sz w:val="16"/>
              </w:rPr>
              <w:t>Decision captured</w:t>
            </w:r>
          </w:p>
        </w:tc>
      </w:tr>
      <w:tr>
        <w:tc>
          <w:tcPr>
            <w:tcW w:type="dxa" w:w="5083"/>
            <w:vAlign w:val="top"/>
          </w:tcPr>
          <w:p>
            <w:r/>
            <w:r>
              <w:rPr>
                <w:rFonts w:ascii="Arial" w:hAnsi="Arial"/>
                <w:b w:val="0"/>
                <w:sz w:val="16"/>
              </w:rPr>
              <w:t>Product Stage</w:t>
            </w:r>
          </w:p>
        </w:tc>
        <w:tc>
          <w:tcPr>
            <w:tcW w:type="dxa" w:w="5083"/>
            <w:vAlign w:val="top"/>
          </w:tcPr>
          <w:p>
            <w:r/>
            <w:r>
              <w:rPr>
                <w:rFonts w:ascii="Arial" w:hAnsi="Arial"/>
                <w:b w:val="0"/>
                <w:sz w:val="16"/>
              </w:rPr>
              <w:t>Prototype, MVP, beta, production, enterprise, open-source, etc.</w:t>
            </w:r>
          </w:p>
        </w:tc>
      </w:tr>
      <w:tr>
        <w:tc>
          <w:tcPr>
            <w:tcW w:type="dxa" w:w="5083"/>
            <w:vAlign w:val="top"/>
          </w:tcPr>
          <w:p>
            <w:r/>
            <w:r>
              <w:rPr>
                <w:rFonts w:ascii="Arial" w:hAnsi="Arial"/>
                <w:b w:val="0"/>
                <w:sz w:val="16"/>
              </w:rPr>
              <w:t>Distribution Model</w:t>
            </w:r>
          </w:p>
        </w:tc>
        <w:tc>
          <w:tcPr>
            <w:tcW w:type="dxa" w:w="5083"/>
            <w:vAlign w:val="top"/>
          </w:tcPr>
          <w:p>
            <w:r/>
            <w:r>
              <w:rPr>
                <w:rFonts w:ascii="Arial" w:hAnsi="Arial"/>
                <w:b w:val="0"/>
                <w:sz w:val="16"/>
              </w:rPr>
              <w:t>Internal, hosted, client-hosted, open-source, SaaS, white-label, on-prem, hybrid.</w:t>
            </w:r>
          </w:p>
        </w:tc>
      </w:tr>
      <w:tr>
        <w:tc>
          <w:tcPr>
            <w:tcW w:type="dxa" w:w="5083"/>
            <w:vAlign w:val="top"/>
          </w:tcPr>
          <w:p>
            <w:r/>
            <w:r>
              <w:rPr>
                <w:rFonts w:ascii="Arial" w:hAnsi="Arial"/>
                <w:b w:val="0"/>
                <w:sz w:val="16"/>
              </w:rPr>
              <w:t>Deployment Target</w:t>
            </w:r>
          </w:p>
        </w:tc>
        <w:tc>
          <w:tcPr>
            <w:tcW w:type="dxa" w:w="5083"/>
            <w:vAlign w:val="top"/>
          </w:tcPr>
          <w:p>
            <w:r/>
            <w:r>
              <w:rPr>
                <w:rFonts w:ascii="Arial" w:hAnsi="Arial"/>
                <w:b w:val="0"/>
                <w:sz w:val="16"/>
              </w:rPr>
              <w:t>Shared hosting, VPS, dedicated server, Docker, Kubernetes, PaaS, serverless, air-gapped, hybrid.</w:t>
            </w:r>
          </w:p>
        </w:tc>
      </w:tr>
      <w:tr>
        <w:tc>
          <w:tcPr>
            <w:tcW w:type="dxa" w:w="5083"/>
            <w:vAlign w:val="top"/>
          </w:tcPr>
          <w:p>
            <w:r/>
            <w:r>
              <w:rPr>
                <w:rFonts w:ascii="Arial" w:hAnsi="Arial"/>
                <w:b w:val="0"/>
                <w:sz w:val="16"/>
              </w:rPr>
              <w:t>Exposure</w:t>
            </w:r>
          </w:p>
        </w:tc>
        <w:tc>
          <w:tcPr>
            <w:tcW w:type="dxa" w:w="5083"/>
            <w:vAlign w:val="top"/>
          </w:tcPr>
          <w:p>
            <w:r/>
            <w:r>
              <w:rPr>
                <w:rFonts w:ascii="Arial" w:hAnsi="Arial"/>
                <w:b w:val="0"/>
                <w:sz w:val="16"/>
              </w:rPr>
              <w:t>Local, private network, public web, public API, partner API, public SaaS signup.</w:t>
            </w:r>
          </w:p>
        </w:tc>
      </w:tr>
      <w:tr>
        <w:tc>
          <w:tcPr>
            <w:tcW w:type="dxa" w:w="5083"/>
            <w:vAlign w:val="top"/>
          </w:tcPr>
          <w:p>
            <w:r/>
            <w:r>
              <w:rPr>
                <w:rFonts w:ascii="Arial" w:hAnsi="Arial"/>
                <w:b w:val="0"/>
                <w:sz w:val="16"/>
              </w:rPr>
              <w:t>Tenancy</w:t>
            </w:r>
          </w:p>
        </w:tc>
        <w:tc>
          <w:tcPr>
            <w:tcW w:type="dxa" w:w="5083"/>
            <w:vAlign w:val="top"/>
          </w:tcPr>
          <w:p>
            <w:r/>
            <w:r>
              <w:rPr>
                <w:rFonts w:ascii="Arial" w:hAnsi="Arial"/>
                <w:b w:val="0"/>
                <w:sz w:val="16"/>
              </w:rPr>
              <w:t>Single-tenant, multi-tenant, organization-scoped, workspace-scoped, hybrid.</w:t>
            </w:r>
          </w:p>
        </w:tc>
      </w:tr>
      <w:tr>
        <w:tc>
          <w:tcPr>
            <w:tcW w:type="dxa" w:w="5083"/>
            <w:vAlign w:val="top"/>
          </w:tcPr>
          <w:p>
            <w:r/>
            <w:r>
              <w:rPr>
                <w:rFonts w:ascii="Arial" w:hAnsi="Arial"/>
                <w:b w:val="0"/>
                <w:sz w:val="16"/>
              </w:rPr>
              <w:t>Identity Model</w:t>
            </w:r>
          </w:p>
        </w:tc>
        <w:tc>
          <w:tcPr>
            <w:tcW w:type="dxa" w:w="5083"/>
            <w:vAlign w:val="top"/>
          </w:tcPr>
          <w:p>
            <w:r/>
            <w:r>
              <w:rPr>
                <w:rFonts w:ascii="Arial" w:hAnsi="Arial"/>
                <w:b w:val="0"/>
                <w:sz w:val="16"/>
              </w:rPr>
              <w:t>No login, single admin, users, admins, tenant admins, platform admins, API clients, SSO.</w:t>
            </w:r>
          </w:p>
        </w:tc>
      </w:tr>
      <w:tr>
        <w:tc>
          <w:tcPr>
            <w:tcW w:type="dxa" w:w="5083"/>
            <w:vAlign w:val="top"/>
          </w:tcPr>
          <w:p>
            <w:r/>
            <w:r>
              <w:rPr>
                <w:rFonts w:ascii="Arial" w:hAnsi="Arial"/>
                <w:b w:val="0"/>
                <w:sz w:val="16"/>
              </w:rPr>
              <w:t>Data Sensitivity</w:t>
            </w:r>
          </w:p>
        </w:tc>
        <w:tc>
          <w:tcPr>
            <w:tcW w:type="dxa" w:w="5083"/>
            <w:vAlign w:val="top"/>
          </w:tcPr>
          <w:p>
            <w:r/>
            <w:r>
              <w:rPr>
                <w:rFonts w:ascii="Arial" w:hAnsi="Arial"/>
                <w:b w:val="0"/>
                <w:sz w:val="16"/>
              </w:rPr>
              <w:t>Public, internal, business-confidential, PII, financial, regulated, secrets.</w:t>
            </w:r>
          </w:p>
        </w:tc>
      </w:tr>
      <w:tr>
        <w:tc>
          <w:tcPr>
            <w:tcW w:type="dxa" w:w="5083"/>
            <w:vAlign w:val="top"/>
          </w:tcPr>
          <w:p>
            <w:r/>
            <w:r>
              <w:rPr>
                <w:rFonts w:ascii="Arial" w:hAnsi="Arial"/>
                <w:b w:val="0"/>
                <w:sz w:val="16"/>
              </w:rPr>
              <w:t>Runtime Model</w:t>
            </w:r>
          </w:p>
        </w:tc>
        <w:tc>
          <w:tcPr>
            <w:tcW w:type="dxa" w:w="5083"/>
            <w:vAlign w:val="top"/>
          </w:tcPr>
          <w:p>
            <w:r/>
            <w:r>
              <w:rPr>
                <w:rFonts w:ascii="Arial" w:hAnsi="Arial"/>
                <w:b w:val="0"/>
                <w:sz w:val="16"/>
              </w:rPr>
              <w:t>Request-only, cron, queue workers, event consumers, long-running workers, scheduled jobs.</w:t>
            </w:r>
          </w:p>
        </w:tc>
      </w:tr>
    </w:tbl>
    <w:p/>
    <w:p>
      <w:pPr>
        <w:pStyle w:val="Heading1"/>
      </w:pPr>
      <w:r>
        <w:t>4. Deployment Target Families</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
              <w:rPr>
                <w:rFonts w:ascii="Arial" w:hAnsi="Arial"/>
                <w:b/>
                <w:sz w:val="16"/>
              </w:rPr>
              <w:t>Target</w:t>
            </w:r>
          </w:p>
        </w:tc>
        <w:tc>
          <w:tcPr>
            <w:tcW w:type="dxa" w:w="5083"/>
            <w:shd w:fill="D9EAF7"/>
            <w:vAlign w:val="center"/>
          </w:tcPr>
          <w:p>
            <w:r/>
            <w:r>
              <w:rPr>
                <w:rFonts w:ascii="Arial" w:hAnsi="Arial"/>
                <w:b/>
                <w:sz w:val="16"/>
              </w:rPr>
              <w:t>What it implies</w:t>
            </w:r>
          </w:p>
        </w:tc>
      </w:tr>
      <w:tr>
        <w:tc>
          <w:tcPr>
            <w:tcW w:type="dxa" w:w="5083"/>
            <w:vAlign w:val="top"/>
          </w:tcPr>
          <w:p>
            <w:r/>
            <w:r>
              <w:rPr>
                <w:rFonts w:ascii="Arial" w:hAnsi="Arial"/>
                <w:b w:val="0"/>
                <w:sz w:val="16"/>
              </w:rPr>
              <w:t>Shared hosting</w:t>
            </w:r>
          </w:p>
        </w:tc>
        <w:tc>
          <w:tcPr>
            <w:tcW w:type="dxa" w:w="5083"/>
            <w:vAlign w:val="top"/>
          </w:tcPr>
          <w:p>
            <w:r/>
            <w:r>
              <w:rPr>
                <w:rFonts w:ascii="Arial" w:hAnsi="Arial"/>
                <w:b w:val="0"/>
                <w:sz w:val="16"/>
              </w:rPr>
              <w:t>No root access, limited daemons, cron as the likely scheduler, careful webroot isolation, file permissions, and practical setup instructions.</w:t>
            </w:r>
          </w:p>
        </w:tc>
      </w:tr>
      <w:tr>
        <w:tc>
          <w:tcPr>
            <w:tcW w:type="dxa" w:w="5083"/>
            <w:vAlign w:val="top"/>
          </w:tcPr>
          <w:p>
            <w:r/>
            <w:r>
              <w:rPr>
                <w:rFonts w:ascii="Arial" w:hAnsi="Arial"/>
                <w:b w:val="0"/>
                <w:sz w:val="16"/>
              </w:rPr>
              <w:t>VPS / Dedicated server</w:t>
            </w:r>
          </w:p>
        </w:tc>
        <w:tc>
          <w:tcPr>
            <w:tcW w:type="dxa" w:w="5083"/>
            <w:vAlign w:val="top"/>
          </w:tcPr>
          <w:p>
            <w:r/>
            <w:r>
              <w:rPr>
                <w:rFonts w:ascii="Arial" w:hAnsi="Arial"/>
                <w:b w:val="0"/>
                <w:sz w:val="16"/>
              </w:rPr>
              <w:t>SSH, reverse proxy, TLS, process supervision, deploy user, logs, backups, cron/workers, firewall assumptions.</w:t>
            </w:r>
          </w:p>
        </w:tc>
      </w:tr>
      <w:tr>
        <w:tc>
          <w:tcPr>
            <w:tcW w:type="dxa" w:w="5083"/>
            <w:vAlign w:val="top"/>
          </w:tcPr>
          <w:p>
            <w:r/>
            <w:r>
              <w:rPr>
                <w:rFonts w:ascii="Arial" w:hAnsi="Arial"/>
                <w:b w:val="0"/>
                <w:sz w:val="16"/>
              </w:rPr>
              <w:t>Docker host</w:t>
            </w:r>
          </w:p>
        </w:tc>
        <w:tc>
          <w:tcPr>
            <w:tcW w:type="dxa" w:w="5083"/>
            <w:vAlign w:val="top"/>
          </w:tcPr>
          <w:p>
            <w:r/>
            <w:r>
              <w:rPr>
                <w:rFonts w:ascii="Arial" w:hAnsi="Arial"/>
                <w:b w:val="0"/>
                <w:sz w:val="16"/>
              </w:rPr>
              <w:t>Image build, environment files, volumes, service dependencies, container health checks, compose or equivalent.</w:t>
            </w:r>
          </w:p>
        </w:tc>
      </w:tr>
      <w:tr>
        <w:tc>
          <w:tcPr>
            <w:tcW w:type="dxa" w:w="5083"/>
            <w:vAlign w:val="top"/>
          </w:tcPr>
          <w:p>
            <w:r/>
            <w:r>
              <w:rPr>
                <w:rFonts w:ascii="Arial" w:hAnsi="Arial"/>
                <w:b w:val="0"/>
                <w:sz w:val="16"/>
              </w:rPr>
              <w:t>Kubernetes</w:t>
            </w:r>
          </w:p>
        </w:tc>
        <w:tc>
          <w:tcPr>
            <w:tcW w:type="dxa" w:w="5083"/>
            <w:vAlign w:val="top"/>
          </w:tcPr>
          <w:p>
            <w:r/>
            <w:r>
              <w:rPr>
                <w:rFonts w:ascii="Arial" w:hAnsi="Arial"/>
                <w:b w:val="0"/>
                <w:sz w:val="16"/>
              </w:rPr>
              <w:t>Manifests/Helm/Kustomize, ingress, probes, secrets/config maps, migration jobs, workers, resource limits, rolling release.</w:t>
            </w:r>
          </w:p>
        </w:tc>
      </w:tr>
      <w:tr>
        <w:tc>
          <w:tcPr>
            <w:tcW w:type="dxa" w:w="5083"/>
            <w:vAlign w:val="top"/>
          </w:tcPr>
          <w:p>
            <w:r/>
            <w:r>
              <w:rPr>
                <w:rFonts w:ascii="Arial" w:hAnsi="Arial"/>
                <w:b w:val="0"/>
                <w:sz w:val="16"/>
              </w:rPr>
              <w:t>PaaS</w:t>
            </w:r>
          </w:p>
        </w:tc>
        <w:tc>
          <w:tcPr>
            <w:tcW w:type="dxa" w:w="5083"/>
            <w:vAlign w:val="top"/>
          </w:tcPr>
          <w:p>
            <w:r/>
            <w:r>
              <w:rPr>
                <w:rFonts w:ascii="Arial" w:hAnsi="Arial"/>
                <w:b w:val="0"/>
                <w:sz w:val="16"/>
              </w:rPr>
              <w:t>Buildpacks or platform build, environment variables, add-on services, logs, worker dynos, release phase commands.</w:t>
            </w:r>
          </w:p>
        </w:tc>
      </w:tr>
      <w:tr>
        <w:tc>
          <w:tcPr>
            <w:tcW w:type="dxa" w:w="5083"/>
            <w:vAlign w:val="top"/>
          </w:tcPr>
          <w:p>
            <w:r/>
            <w:r>
              <w:rPr>
                <w:rFonts w:ascii="Arial" w:hAnsi="Arial"/>
                <w:b w:val="0"/>
                <w:sz w:val="16"/>
              </w:rPr>
              <w:t>Serverless</w:t>
            </w:r>
          </w:p>
        </w:tc>
        <w:tc>
          <w:tcPr>
            <w:tcW w:type="dxa" w:w="5083"/>
            <w:vAlign w:val="top"/>
          </w:tcPr>
          <w:p>
            <w:r/>
            <w:r>
              <w:rPr>
                <w:rFonts w:ascii="Arial" w:hAnsi="Arial"/>
                <w:b w:val="0"/>
                <w:sz w:val="16"/>
              </w:rPr>
              <w:t>Function packaging, event triggers, statelessness, cold starts, bound secrets, queue/event services.</w:t>
            </w:r>
          </w:p>
        </w:tc>
      </w:tr>
      <w:tr>
        <w:tc>
          <w:tcPr>
            <w:tcW w:type="dxa" w:w="5083"/>
            <w:vAlign w:val="top"/>
          </w:tcPr>
          <w:p>
            <w:r/>
            <w:r>
              <w:rPr>
                <w:rFonts w:ascii="Arial" w:hAnsi="Arial"/>
                <w:b w:val="0"/>
                <w:sz w:val="16"/>
              </w:rPr>
              <w:t>Open-source / distributable</w:t>
            </w:r>
          </w:p>
        </w:tc>
        <w:tc>
          <w:tcPr>
            <w:tcW w:type="dxa" w:w="5083"/>
            <w:vAlign w:val="top"/>
          </w:tcPr>
          <w:p>
            <w:r/>
            <w:r>
              <w:rPr>
                <w:rFonts w:ascii="Arial" w:hAnsi="Arial"/>
                <w:b w:val="0"/>
                <w:sz w:val="16"/>
              </w:rPr>
              <w:t>Safe defaults, installer checks, documented requirements, upgrade path, no hidden proprietary assumptions.</w:t>
            </w:r>
          </w:p>
        </w:tc>
      </w:tr>
      <w:tr>
        <w:tc>
          <w:tcPr>
            <w:tcW w:type="dxa" w:w="5083"/>
            <w:vAlign w:val="top"/>
          </w:tcPr>
          <w:p>
            <w:r/>
            <w:r>
              <w:rPr>
                <w:rFonts w:ascii="Arial" w:hAnsi="Arial"/>
                <w:b w:val="0"/>
                <w:sz w:val="16"/>
              </w:rPr>
              <w:t>Air-gapped / on-prem</w:t>
            </w:r>
          </w:p>
        </w:tc>
        <w:tc>
          <w:tcPr>
            <w:tcW w:type="dxa" w:w="5083"/>
            <w:vAlign w:val="top"/>
          </w:tcPr>
          <w:p>
            <w:r/>
            <w:r>
              <w:rPr>
                <w:rFonts w:ascii="Arial" w:hAnsi="Arial"/>
                <w:b w:val="0"/>
                <w:sz w:val="16"/>
              </w:rPr>
              <w:t>Offline dependencies, operator guide, upgrade bundles, no external calls by default, controlled update process.</w:t>
            </w:r>
          </w:p>
        </w:tc>
      </w:tr>
    </w:tbl>
    <w:p/>
    <w:p>
      <w:pPr>
        <w:pStyle w:val="Heading1"/>
      </w:pPr>
      <w:r>
        <w:t>5. Environment Discipline</w:t>
      </w:r>
    </w:p>
    <w:p>
      <w:r>
        <w:t>Every environment must have a purpose. A project does not need every environment on day one, but it must not confuse local development, demo review, staging validation, and production operation.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r/>
            <w:r>
              <w:rPr>
                <w:rFonts w:ascii="Arial" w:hAnsi="Arial"/>
                <w:b/>
                <w:sz w:val="16"/>
              </w:rPr>
              <w:t>Environment</w:t>
            </w:r>
          </w:p>
        </w:tc>
        <w:tc>
          <w:tcPr>
            <w:tcW w:type="dxa" w:w="3389"/>
            <w:shd w:fill="D9EAF7"/>
            <w:vAlign w:val="center"/>
          </w:tcPr>
          <w:p>
            <w:r/>
            <w:r>
              <w:rPr>
                <w:rFonts w:ascii="Arial" w:hAnsi="Arial"/>
                <w:b/>
                <w:sz w:val="16"/>
              </w:rPr>
              <w:t>Purpose</w:t>
            </w:r>
          </w:p>
        </w:tc>
        <w:tc>
          <w:tcPr>
            <w:tcW w:type="dxa" w:w="3389"/>
            <w:shd w:fill="D9EAF7"/>
            <w:vAlign w:val="center"/>
          </w:tcPr>
          <w:p>
            <w:r/>
            <w:r>
              <w:rPr>
                <w:rFonts w:ascii="Arial" w:hAnsi="Arial"/>
                <w:b/>
                <w:sz w:val="16"/>
              </w:rPr>
              <w:t>Minimum expectations</w:t>
            </w:r>
          </w:p>
        </w:tc>
      </w:tr>
      <w:tr>
        <w:tc>
          <w:tcPr>
            <w:tcW w:type="dxa" w:w="3389"/>
            <w:vAlign w:val="top"/>
          </w:tcPr>
          <w:p>
            <w:r/>
            <w:r>
              <w:rPr>
                <w:rFonts w:ascii="Arial" w:hAnsi="Arial"/>
                <w:b w:val="0"/>
                <w:sz w:val="16"/>
              </w:rPr>
              <w:t>Local</w:t>
            </w:r>
          </w:p>
        </w:tc>
        <w:tc>
          <w:tcPr>
            <w:tcW w:type="dxa" w:w="3389"/>
            <w:vAlign w:val="top"/>
          </w:tcPr>
          <w:p>
            <w:r/>
            <w:r>
              <w:rPr>
                <w:rFonts w:ascii="Arial" w:hAnsi="Arial"/>
                <w:b w:val="0"/>
                <w:sz w:val="16"/>
              </w:rPr>
              <w:t>Developer and AI-agent implementation</w:t>
            </w:r>
          </w:p>
        </w:tc>
        <w:tc>
          <w:tcPr>
            <w:tcW w:type="dxa" w:w="3389"/>
            <w:vAlign w:val="top"/>
          </w:tcPr>
          <w:p>
            <w:r/>
            <w:r>
              <w:rPr>
                <w:rFonts w:ascii="Arial" w:hAnsi="Arial"/>
                <w:b w:val="0"/>
                <w:sz w:val="16"/>
              </w:rPr>
              <w:t>Fast setup, demo seed data, safe local secrets, dev routes allowed only locally.</w:t>
            </w:r>
          </w:p>
        </w:tc>
      </w:tr>
      <w:tr>
        <w:tc>
          <w:tcPr>
            <w:tcW w:type="dxa" w:w="3389"/>
            <w:vAlign w:val="top"/>
          </w:tcPr>
          <w:p>
            <w:r/>
            <w:r>
              <w:rPr>
                <w:rFonts w:ascii="Arial" w:hAnsi="Arial"/>
                <w:b w:val="0"/>
                <w:sz w:val="16"/>
              </w:rPr>
              <w:t>CI/Test</w:t>
            </w:r>
          </w:p>
        </w:tc>
        <w:tc>
          <w:tcPr>
            <w:tcW w:type="dxa" w:w="3389"/>
            <w:vAlign w:val="top"/>
          </w:tcPr>
          <w:p>
            <w:r/>
            <w:r>
              <w:rPr>
                <w:rFonts w:ascii="Arial" w:hAnsi="Arial"/>
                <w:b w:val="0"/>
                <w:sz w:val="16"/>
              </w:rPr>
              <w:t>Automated validation</w:t>
            </w:r>
          </w:p>
        </w:tc>
        <w:tc>
          <w:tcPr>
            <w:tcW w:type="dxa" w:w="3389"/>
            <w:vAlign w:val="top"/>
          </w:tcPr>
          <w:p>
            <w:r/>
            <w:r>
              <w:rPr>
                <w:rFonts w:ascii="Arial" w:hAnsi="Arial"/>
                <w:b w:val="0"/>
                <w:sz w:val="16"/>
              </w:rPr>
              <w:t>Deterministic test data, isolated config, repeatable commands.</w:t>
            </w:r>
          </w:p>
        </w:tc>
      </w:tr>
      <w:tr>
        <w:tc>
          <w:tcPr>
            <w:tcW w:type="dxa" w:w="3389"/>
            <w:vAlign w:val="top"/>
          </w:tcPr>
          <w:p>
            <w:r/>
            <w:r>
              <w:rPr>
                <w:rFonts w:ascii="Arial" w:hAnsi="Arial"/>
                <w:b w:val="0"/>
                <w:sz w:val="16"/>
              </w:rPr>
              <w:t>Demo</w:t>
            </w:r>
          </w:p>
        </w:tc>
        <w:tc>
          <w:tcPr>
            <w:tcW w:type="dxa" w:w="3389"/>
            <w:vAlign w:val="top"/>
          </w:tcPr>
          <w:p>
            <w:r/>
            <w:r>
              <w:rPr>
                <w:rFonts w:ascii="Arial" w:hAnsi="Arial"/>
                <w:b w:val="0"/>
                <w:sz w:val="16"/>
              </w:rPr>
              <w:t>Human architect and stakeholder review</w:t>
            </w:r>
          </w:p>
        </w:tc>
        <w:tc>
          <w:tcPr>
            <w:tcW w:type="dxa" w:w="3389"/>
            <w:vAlign w:val="top"/>
          </w:tcPr>
          <w:p>
            <w:r/>
            <w:r>
              <w:rPr>
                <w:rFonts w:ascii="Arial" w:hAnsi="Arial"/>
                <w:b w:val="0"/>
                <w:sz w:val="16"/>
              </w:rPr>
              <w:t>Stable sample data, non-production banner, smoke-test path.</w:t>
            </w:r>
          </w:p>
        </w:tc>
      </w:tr>
      <w:tr>
        <w:tc>
          <w:tcPr>
            <w:tcW w:type="dxa" w:w="3389"/>
            <w:vAlign w:val="top"/>
          </w:tcPr>
          <w:p>
            <w:r/>
            <w:r>
              <w:rPr>
                <w:rFonts w:ascii="Arial" w:hAnsi="Arial"/>
                <w:b w:val="0"/>
                <w:sz w:val="16"/>
              </w:rPr>
              <w:t>Staging</w:t>
            </w:r>
          </w:p>
        </w:tc>
        <w:tc>
          <w:tcPr>
            <w:tcW w:type="dxa" w:w="3389"/>
            <w:vAlign w:val="top"/>
          </w:tcPr>
          <w:p>
            <w:r/>
            <w:r>
              <w:rPr>
                <w:rFonts w:ascii="Arial" w:hAnsi="Arial"/>
                <w:b w:val="0"/>
                <w:sz w:val="16"/>
              </w:rPr>
              <w:t>Production-like validation</w:t>
            </w:r>
          </w:p>
        </w:tc>
        <w:tc>
          <w:tcPr>
            <w:tcW w:type="dxa" w:w="3389"/>
            <w:vAlign w:val="top"/>
          </w:tcPr>
          <w:p>
            <w:r/>
            <w:r>
              <w:rPr>
                <w:rFonts w:ascii="Arial" w:hAnsi="Arial"/>
                <w:b w:val="0"/>
                <w:sz w:val="16"/>
              </w:rPr>
              <w:t>Production-like config, migrations, smoke tests, rollback check.</w:t>
            </w:r>
          </w:p>
        </w:tc>
      </w:tr>
      <w:tr>
        <w:tc>
          <w:tcPr>
            <w:tcW w:type="dxa" w:w="3389"/>
            <w:vAlign w:val="top"/>
          </w:tcPr>
          <w:p>
            <w:r/>
            <w:r>
              <w:rPr>
                <w:rFonts w:ascii="Arial" w:hAnsi="Arial"/>
                <w:b w:val="0"/>
                <w:sz w:val="16"/>
              </w:rPr>
              <w:t>Production</w:t>
            </w:r>
          </w:p>
        </w:tc>
        <w:tc>
          <w:tcPr>
            <w:tcW w:type="dxa" w:w="3389"/>
            <w:vAlign w:val="top"/>
          </w:tcPr>
          <w:p>
            <w:r/>
            <w:r>
              <w:rPr>
                <w:rFonts w:ascii="Arial" w:hAnsi="Arial"/>
                <w:b w:val="0"/>
                <w:sz w:val="16"/>
              </w:rPr>
              <w:t>Real users and data</w:t>
            </w:r>
          </w:p>
        </w:tc>
        <w:tc>
          <w:tcPr>
            <w:tcW w:type="dxa" w:w="3389"/>
            <w:vAlign w:val="top"/>
          </w:tcPr>
          <w:p>
            <w:r/>
            <w:r>
              <w:rPr>
                <w:rFonts w:ascii="Arial" w:hAnsi="Arial"/>
                <w:b w:val="0"/>
                <w:sz w:val="16"/>
              </w:rPr>
              <w:t>Locked secrets, backups, monitoring, dev routes disabled, migration discipline.</w:t>
            </w:r>
          </w:p>
        </w:tc>
      </w:tr>
    </w:tbl>
    <w:p/>
    <w:p>
      <w:pPr>
        <w:pStyle w:val="Heading1"/>
      </w:pPr>
      <w:r>
        <w:t>6. Configuration and Secrets</w:t>
      </w:r>
    </w:p>
    <w:p>
      <w:r>
        <w:t>Configuration selects behavior. Secrets grant access. The foundation keeps these concerns separate and requires safe examples, validation, and environment-appropriate storage.</w:t>
      </w:r>
    </w:p>
    <w:p>
      <w:pPr>
        <w:pStyle w:val="ListBullet"/>
      </w:pPr>
      <w:r>
        <w:t>Provide `.env.example` or equivalent with safe placeholders only.</w:t>
      </w:r>
    </w:p>
    <w:p>
      <w:pPr>
        <w:pStyle w:val="ListBullet"/>
      </w:pPr>
      <w:r>
        <w:t>Never commit real secrets.</w:t>
      </w:r>
    </w:p>
    <w:p>
      <w:pPr>
        <w:pStyle w:val="ListBullet"/>
      </w:pPr>
      <w:r>
        <w:t>Fail safely when required values are absent.</w:t>
      </w:r>
    </w:p>
    <w:p>
      <w:pPr>
        <w:pStyle w:val="ListBullet"/>
      </w:pPr>
      <w:r>
        <w:t>Do not log secrets or expose them in errors, debug pages, fixtures, screenshots, or telemetry.</w:t>
      </w:r>
    </w:p>
    <w:p>
      <w:pPr>
        <w:pStyle w:val="ListBullet"/>
      </w:pPr>
      <w:r>
        <w:t>Use the best secret source available for the deployment target while keeping application code independent from that source.</w:t>
      </w:r>
    </w:p>
    <w:p>
      <w:pPr>
        <w:pStyle w:val="Heading1"/>
      </w:pPr>
      <w:r>
        <w:t>7. Release and Migration Discipline</w:t>
      </w:r>
    </w:p>
    <w:p>
      <w:r>
        <w:t>A release may include code, UI assets, API contracts, migrations, data backfills, config changes, queue changes, scheduled jobs, workers, and documentation. The release record must explain what changed and how it can be validated or corrected.</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
              <w:rPr>
                <w:rFonts w:ascii="Arial" w:hAnsi="Arial"/>
                <w:b/>
                <w:sz w:val="16"/>
              </w:rPr>
              <w:t>Release element</w:t>
            </w:r>
          </w:p>
        </w:tc>
        <w:tc>
          <w:tcPr>
            <w:tcW w:type="dxa" w:w="5083"/>
            <w:shd w:fill="D9EAF7"/>
            <w:vAlign w:val="center"/>
          </w:tcPr>
          <w:p>
            <w:r/>
            <w:r>
              <w:rPr>
                <w:rFonts w:ascii="Arial" w:hAnsi="Arial"/>
                <w:b/>
                <w:sz w:val="16"/>
              </w:rPr>
              <w:t>Required consideration</w:t>
            </w:r>
          </w:p>
        </w:tc>
      </w:tr>
      <w:tr>
        <w:tc>
          <w:tcPr>
            <w:tcW w:type="dxa" w:w="5083"/>
            <w:vAlign w:val="top"/>
          </w:tcPr>
          <w:p>
            <w:r/>
            <w:r>
              <w:rPr>
                <w:rFonts w:ascii="Arial" w:hAnsi="Arial"/>
                <w:b w:val="0"/>
                <w:sz w:val="16"/>
              </w:rPr>
              <w:t>Code/assets</w:t>
            </w:r>
          </w:p>
        </w:tc>
        <w:tc>
          <w:tcPr>
            <w:tcW w:type="dxa" w:w="5083"/>
            <w:vAlign w:val="top"/>
          </w:tcPr>
          <w:p>
            <w:r/>
            <w:r>
              <w:rPr>
                <w:rFonts w:ascii="Arial" w:hAnsi="Arial"/>
                <w:b w:val="0"/>
                <w:sz w:val="16"/>
              </w:rPr>
              <w:t>Build/package steps, compatibility, smoke tests.</w:t>
            </w:r>
          </w:p>
        </w:tc>
      </w:tr>
      <w:tr>
        <w:tc>
          <w:tcPr>
            <w:tcW w:type="dxa" w:w="5083"/>
            <w:vAlign w:val="top"/>
          </w:tcPr>
          <w:p>
            <w:r/>
            <w:r>
              <w:rPr>
                <w:rFonts w:ascii="Arial" w:hAnsi="Arial"/>
                <w:b w:val="0"/>
                <w:sz w:val="16"/>
              </w:rPr>
              <w:t>Database migrations</w:t>
            </w:r>
          </w:p>
        </w:tc>
        <w:tc>
          <w:tcPr>
            <w:tcW w:type="dxa" w:w="5083"/>
            <w:vAlign w:val="top"/>
          </w:tcPr>
          <w:p>
            <w:r/>
            <w:r>
              <w:rPr>
                <w:rFonts w:ascii="Arial" w:hAnsi="Arial"/>
                <w:b w:val="0"/>
                <w:sz w:val="16"/>
              </w:rPr>
              <w:t>Backward compatibility, backup need, rollback or forward-fix plan.</w:t>
            </w:r>
          </w:p>
        </w:tc>
      </w:tr>
      <w:tr>
        <w:tc>
          <w:tcPr>
            <w:tcW w:type="dxa" w:w="5083"/>
            <w:vAlign w:val="top"/>
          </w:tcPr>
          <w:p>
            <w:r/>
            <w:r>
              <w:rPr>
                <w:rFonts w:ascii="Arial" w:hAnsi="Arial"/>
                <w:b w:val="0"/>
                <w:sz w:val="16"/>
              </w:rPr>
              <w:t>API contracts</w:t>
            </w:r>
          </w:p>
        </w:tc>
        <w:tc>
          <w:tcPr>
            <w:tcW w:type="dxa" w:w="5083"/>
            <w:vAlign w:val="top"/>
          </w:tcPr>
          <w:p>
            <w:r/>
            <w:r>
              <w:rPr>
                <w:rFonts w:ascii="Arial" w:hAnsi="Arial"/>
                <w:b w:val="0"/>
                <w:sz w:val="16"/>
              </w:rPr>
              <w:t>Version impact, backward compatibility, client impact.</w:t>
            </w:r>
          </w:p>
        </w:tc>
      </w:tr>
      <w:tr>
        <w:tc>
          <w:tcPr>
            <w:tcW w:type="dxa" w:w="5083"/>
            <w:vAlign w:val="top"/>
          </w:tcPr>
          <w:p>
            <w:r/>
            <w:r>
              <w:rPr>
                <w:rFonts w:ascii="Arial" w:hAnsi="Arial"/>
                <w:b w:val="0"/>
                <w:sz w:val="16"/>
              </w:rPr>
              <w:t>Workers/cron</w:t>
            </w:r>
          </w:p>
        </w:tc>
        <w:tc>
          <w:tcPr>
            <w:tcW w:type="dxa" w:w="5083"/>
            <w:vAlign w:val="top"/>
          </w:tcPr>
          <w:p>
            <w:r/>
            <w:r>
              <w:rPr>
                <w:rFonts w:ascii="Arial" w:hAnsi="Arial"/>
                <w:b w:val="0"/>
                <w:sz w:val="16"/>
              </w:rPr>
              <w:t>Startup/restart behavior, idempotency, failure modes.</w:t>
            </w:r>
          </w:p>
        </w:tc>
      </w:tr>
      <w:tr>
        <w:tc>
          <w:tcPr>
            <w:tcW w:type="dxa" w:w="5083"/>
            <w:vAlign w:val="top"/>
          </w:tcPr>
          <w:p>
            <w:r/>
            <w:r>
              <w:rPr>
                <w:rFonts w:ascii="Arial" w:hAnsi="Arial"/>
                <w:b w:val="0"/>
                <w:sz w:val="16"/>
              </w:rPr>
              <w:t>Config/secrets</w:t>
            </w:r>
          </w:p>
        </w:tc>
        <w:tc>
          <w:tcPr>
            <w:tcW w:type="dxa" w:w="5083"/>
            <w:vAlign w:val="top"/>
          </w:tcPr>
          <w:p>
            <w:r/>
            <w:r>
              <w:rPr>
                <w:rFonts w:ascii="Arial" w:hAnsi="Arial"/>
                <w:b w:val="0"/>
                <w:sz w:val="16"/>
              </w:rPr>
              <w:t>Changed variables, safe defaults, missing-value behavior.</w:t>
            </w:r>
          </w:p>
        </w:tc>
      </w:tr>
      <w:tr>
        <w:tc>
          <w:tcPr>
            <w:tcW w:type="dxa" w:w="5083"/>
            <w:vAlign w:val="top"/>
          </w:tcPr>
          <w:p>
            <w:r/>
            <w:r>
              <w:rPr>
                <w:rFonts w:ascii="Arial" w:hAnsi="Arial"/>
                <w:b w:val="0"/>
                <w:sz w:val="16"/>
              </w:rPr>
              <w:t>Rollback</w:t>
            </w:r>
          </w:p>
        </w:tc>
        <w:tc>
          <w:tcPr>
            <w:tcW w:type="dxa" w:w="5083"/>
            <w:vAlign w:val="top"/>
          </w:tcPr>
          <w:p>
            <w:r/>
            <w:r>
              <w:rPr>
                <w:rFonts w:ascii="Arial" w:hAnsi="Arial"/>
                <w:b w:val="0"/>
                <w:sz w:val="16"/>
              </w:rPr>
              <w:t>Code rollback, config rollback, migration rollback, forward fix, restore, or reconciliation.</w:t>
            </w:r>
          </w:p>
        </w:tc>
      </w:tr>
    </w:tbl>
    <w:p/>
    <w:p>
      <w:pPr>
        <w:pStyle w:val="Heading1"/>
      </w:pPr>
      <w:r>
        <w:t>8. New Project Procedure</w:t>
      </w:r>
    </w:p>
    <w:p>
      <w:pPr>
        <w:pStyle w:val="ListNumber"/>
      </w:pPr>
      <w:r>
        <w:t>Complete enough product, market, feature, and architecture thinking to justify the stack and deployment direction.</w:t>
      </w:r>
    </w:p>
    <w:p>
      <w:pPr>
        <w:pStyle w:val="ListNumber"/>
      </w:pPr>
      <w:r>
        <w:t>Choose the tech stack based on product expectations, business plan, UI, data, API, runtime, security, and deployment reality.</w:t>
      </w:r>
    </w:p>
    <w:p>
      <w:pPr>
        <w:pStyle w:val="ListNumber"/>
      </w:pPr>
      <w:r>
        <w:t>Adapt the codebase skeleton, not a random scaffold.</w:t>
      </w:r>
    </w:p>
    <w:p>
      <w:pPr>
        <w:pStyle w:val="ListNumber"/>
      </w:pPr>
      <w:r>
        <w:t>Add AGENTS.md and all active foundation documents.</w:t>
      </w:r>
    </w:p>
    <w:p>
      <w:pPr>
        <w:pStyle w:val="ListNumber"/>
      </w:pPr>
      <w:r>
        <w:t>Create project-operating-profile.md and delivery-adapter.md.</w:t>
      </w:r>
    </w:p>
    <w:p>
      <w:pPr>
        <w:pStyle w:val="ListNumber"/>
      </w:pPr>
      <w:r>
        <w:t>Establish local setup, environment template, first demo/deploy target, and smoke-test path.</w:t>
      </w:r>
    </w:p>
    <w:p>
      <w:pPr>
        <w:pStyle w:val="ListNumber"/>
      </w:pPr>
      <w:r>
        <w:t>Build the UI foundation early and deliver features as vertical slices across Core + Data + API + Test + UI.</w:t>
      </w:r>
    </w:p>
    <w:p>
      <w:pPr>
        <w:pStyle w:val="Heading1"/>
      </w:pPr>
      <w:r>
        <w:t>9. Existing Project / Refactoring Procedure</w:t>
      </w:r>
    </w:p>
    <w:p>
      <w:r>
        <w:t>Existing projects must be mapped before they are corrected. Delivery refactoring is dangerous if it breaks a working deployment process without understanding it.</w:t>
      </w:r>
    </w:p>
    <w:p>
      <w:pPr>
        <w:pStyle w:val="ListBullet"/>
      </w:pPr>
      <w:r>
        <w:t>Inventory current setup, scripts, environments, CI/CD, hosting, migrations, workers, cron, backups, and release behavior.</w:t>
      </w:r>
    </w:p>
    <w:p>
      <w:pPr>
        <w:pStyle w:val="ListBullet"/>
      </w:pPr>
      <w:r>
        <w:t>Create the operating profile from reality, not from aspiration.</w:t>
      </w:r>
    </w:p>
    <w:p>
      <w:pPr>
        <w:pStyle w:val="ListBullet"/>
      </w:pPr>
      <w:r>
        <w:t>Preserve valid working behavior unless migration is explicitly approved.</w:t>
      </w:r>
    </w:p>
    <w:p>
      <w:pPr>
        <w:pStyle w:val="ListBullet"/>
      </w:pPr>
      <w:r>
        <w:t>Refactor incrementally and keep rollback options clear.</w:t>
      </w:r>
    </w:p>
    <w:p>
      <w:pPr>
        <w:pStyle w:val="ListBullet"/>
      </w:pPr>
      <w:r>
        <w:t>Update setup, release, deployment, migration, and smoke-test documentation with each material change.</w:t>
      </w:r>
    </w:p>
    <w:p>
      <w:pPr>
        <w:pStyle w:val="Heading1"/>
      </w:pPr>
      <w:r>
        <w:t>10. Security Handoff</w:t>
      </w:r>
    </w:p>
    <w:p>
      <w:r>
        <w:t>Security should be built after Delivery defines the operating profile, because security controls depend on exposure, data sensitivity, identity, tenancy, and infrastructure capability. The security foundation should consume the operating profile rather than inventing a separate deployment assumption.</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
              <w:rPr>
                <w:rFonts w:ascii="Arial" w:hAnsi="Arial"/>
                <w:b/>
                <w:sz w:val="16"/>
              </w:rPr>
              <w:t>Delivery declares</w:t>
            </w:r>
          </w:p>
        </w:tc>
        <w:tc>
          <w:tcPr>
            <w:tcW w:type="dxa" w:w="5083"/>
            <w:shd w:fill="D9EAF7"/>
            <w:vAlign w:val="center"/>
          </w:tcPr>
          <w:p>
            <w:r/>
            <w:r>
              <w:rPr>
                <w:rFonts w:ascii="Arial" w:hAnsi="Arial"/>
                <w:b/>
                <w:sz w:val="16"/>
              </w:rPr>
              <w:t>Security consumes</w:t>
            </w:r>
          </w:p>
        </w:tc>
      </w:tr>
      <w:tr>
        <w:tc>
          <w:tcPr>
            <w:tcW w:type="dxa" w:w="5083"/>
            <w:vAlign w:val="top"/>
          </w:tcPr>
          <w:p>
            <w:r/>
            <w:r>
              <w:rPr>
                <w:rFonts w:ascii="Arial" w:hAnsi="Arial"/>
                <w:b w:val="0"/>
                <w:sz w:val="16"/>
              </w:rPr>
              <w:t>Deployment target</w:t>
            </w:r>
          </w:p>
        </w:tc>
        <w:tc>
          <w:tcPr>
            <w:tcW w:type="dxa" w:w="5083"/>
            <w:vAlign w:val="top"/>
          </w:tcPr>
          <w:p>
            <w:r/>
            <w:r>
              <w:rPr>
                <w:rFonts w:ascii="Arial" w:hAnsi="Arial"/>
                <w:b w:val="0"/>
                <w:sz w:val="16"/>
              </w:rPr>
              <w:t>What infrastructure-specific controls are possible.</w:t>
            </w:r>
          </w:p>
        </w:tc>
      </w:tr>
      <w:tr>
        <w:tc>
          <w:tcPr>
            <w:tcW w:type="dxa" w:w="5083"/>
            <w:vAlign w:val="top"/>
          </w:tcPr>
          <w:p>
            <w:r/>
            <w:r>
              <w:rPr>
                <w:rFonts w:ascii="Arial" w:hAnsi="Arial"/>
                <w:b w:val="0"/>
                <w:sz w:val="16"/>
              </w:rPr>
              <w:t>Exposure</w:t>
            </w:r>
          </w:p>
        </w:tc>
        <w:tc>
          <w:tcPr>
            <w:tcW w:type="dxa" w:w="5083"/>
            <w:vAlign w:val="top"/>
          </w:tcPr>
          <w:p>
            <w:r/>
            <w:r>
              <w:rPr>
                <w:rFonts w:ascii="Arial" w:hAnsi="Arial"/>
                <w:b w:val="0"/>
                <w:sz w:val="16"/>
              </w:rPr>
              <w:t>How public/private the attack surface is.</w:t>
            </w:r>
          </w:p>
        </w:tc>
      </w:tr>
      <w:tr>
        <w:tc>
          <w:tcPr>
            <w:tcW w:type="dxa" w:w="5083"/>
            <w:vAlign w:val="top"/>
          </w:tcPr>
          <w:p>
            <w:r/>
            <w:r>
              <w:rPr>
                <w:rFonts w:ascii="Arial" w:hAnsi="Arial"/>
                <w:b w:val="0"/>
                <w:sz w:val="16"/>
              </w:rPr>
              <w:t>Identity model</w:t>
            </w:r>
          </w:p>
        </w:tc>
        <w:tc>
          <w:tcPr>
            <w:tcW w:type="dxa" w:w="5083"/>
            <w:vAlign w:val="top"/>
          </w:tcPr>
          <w:p>
            <w:r/>
            <w:r>
              <w:rPr>
                <w:rFonts w:ascii="Arial" w:hAnsi="Arial"/>
                <w:b w:val="0"/>
                <w:sz w:val="16"/>
              </w:rPr>
              <w:t>Authentication, session, SSO, admin, API-client controls.</w:t>
            </w:r>
          </w:p>
        </w:tc>
      </w:tr>
      <w:tr>
        <w:tc>
          <w:tcPr>
            <w:tcW w:type="dxa" w:w="5083"/>
            <w:vAlign w:val="top"/>
          </w:tcPr>
          <w:p>
            <w:r/>
            <w:r>
              <w:rPr>
                <w:rFonts w:ascii="Arial" w:hAnsi="Arial"/>
                <w:b w:val="0"/>
                <w:sz w:val="16"/>
              </w:rPr>
              <w:t>Data sensitivity</w:t>
            </w:r>
          </w:p>
        </w:tc>
        <w:tc>
          <w:tcPr>
            <w:tcW w:type="dxa" w:w="5083"/>
            <w:vAlign w:val="top"/>
          </w:tcPr>
          <w:p>
            <w:r/>
            <w:r>
              <w:rPr>
                <w:rFonts w:ascii="Arial" w:hAnsi="Arial"/>
                <w:b w:val="0"/>
                <w:sz w:val="16"/>
              </w:rPr>
              <w:t>Encryption, logging, redaction, retention, file protections.</w:t>
            </w:r>
          </w:p>
        </w:tc>
      </w:tr>
      <w:tr>
        <w:tc>
          <w:tcPr>
            <w:tcW w:type="dxa" w:w="5083"/>
            <w:vAlign w:val="top"/>
          </w:tcPr>
          <w:p>
            <w:r/>
            <w:r>
              <w:rPr>
                <w:rFonts w:ascii="Arial" w:hAnsi="Arial"/>
                <w:b w:val="0"/>
                <w:sz w:val="16"/>
              </w:rPr>
              <w:t>Tenancy</w:t>
            </w:r>
          </w:p>
        </w:tc>
        <w:tc>
          <w:tcPr>
            <w:tcW w:type="dxa" w:w="5083"/>
            <w:vAlign w:val="top"/>
          </w:tcPr>
          <w:p>
            <w:r/>
            <w:r>
              <w:rPr>
                <w:rFonts w:ascii="Arial" w:hAnsi="Arial"/>
                <w:b w:val="0"/>
                <w:sz w:val="16"/>
              </w:rPr>
              <w:t>Tenant isolation, tenant-aware storage/cache/files/logs.</w:t>
            </w:r>
          </w:p>
        </w:tc>
      </w:tr>
      <w:tr>
        <w:tc>
          <w:tcPr>
            <w:tcW w:type="dxa" w:w="5083"/>
            <w:vAlign w:val="top"/>
          </w:tcPr>
          <w:p>
            <w:r/>
            <w:r>
              <w:rPr>
                <w:rFonts w:ascii="Arial" w:hAnsi="Arial"/>
                <w:b w:val="0"/>
                <w:sz w:val="16"/>
              </w:rPr>
              <w:t>Runtime model</w:t>
            </w:r>
          </w:p>
        </w:tc>
        <w:tc>
          <w:tcPr>
            <w:tcW w:type="dxa" w:w="5083"/>
            <w:vAlign w:val="top"/>
          </w:tcPr>
          <w:p>
            <w:r/>
            <w:r>
              <w:rPr>
                <w:rFonts w:ascii="Arial" w:hAnsi="Arial"/>
                <w:b w:val="0"/>
                <w:sz w:val="16"/>
              </w:rPr>
              <w:t>Worker, queue, scheduler, cron, webhook, and job security controls.</w:t>
            </w:r>
          </w:p>
        </w:tc>
      </w:tr>
    </w:tbl>
    <w:p/>
    <w:p>
      <w:pPr>
        <w:pStyle w:val="Heading1"/>
      </w:pPr>
      <w:r>
        <w:t>11. AI Coding Agent Enforcement</w:t>
      </w:r>
    </w:p>
    <w:p>
      <w:r>
        <w:t>AI agents must not use Delivery work as an excuse to impose preferred infrastructure. They must read the operating profile, preserve the selected deployment model, update delivery documentation, and report risks.</w:t>
      </w:r>
    </w:p>
    <w:p>
      <w:pPr>
        <w:pStyle w:val="ListBullet"/>
      </w:pPr>
      <w:r>
        <w:t>Do not introduce Docker, Kubernetes, cloud services, CI/CD, managed queues, or serverless unless approved by the operating profile or task.</w:t>
      </w:r>
    </w:p>
    <w:p>
      <w:pPr>
        <w:pStyle w:val="ListBullet"/>
      </w:pPr>
      <w:r>
        <w:t>Do not introduce Node.js or Laravel as core application technologies where project policy forbids them; tooling or non-core modules must be documented.</w:t>
      </w:r>
    </w:p>
    <w:p>
      <w:pPr>
        <w:pStyle w:val="ListBullet"/>
      </w:pPr>
      <w:r>
        <w:t>Do not leave setup or deployment steps in chat only; durable instructions belong in repository documents.</w:t>
      </w:r>
    </w:p>
    <w:p>
      <w:pPr>
        <w:pStyle w:val="ListBullet"/>
      </w:pPr>
      <w:r>
        <w:t>Do not treat a demo deployment as production unless the operating profile says so.</w:t>
      </w:r>
    </w:p>
    <w:p>
      <w:pPr>
        <w:pStyle w:val="ListBullet"/>
      </w:pPr>
      <w:r>
        <w:t>Do not run or recommend destructive migrations without backup and rollback/forward-fix notes.</w:t>
      </w:r>
    </w:p>
    <w:p>
      <w:pPr>
        <w:pStyle w:val="Heading1"/>
      </w:pPr>
      <w:r>
        <w:t>12. Acceptance Checklist</w:t>
      </w:r>
    </w:p>
    <w:p>
      <w:pPr>
        <w:pStyle w:val="ListBullet"/>
      </w:pPr>
      <w:r>
        <w:t>Operating profile exists and matches the project stage.</w:t>
      </w:r>
    </w:p>
    <w:p>
      <w:pPr>
        <w:pStyle w:val="ListBullet"/>
      </w:pPr>
      <w:r>
        <w:t>Delivery adapter maps setup, build, runtime, and deployment behavior.</w:t>
      </w:r>
    </w:p>
    <w:p>
      <w:pPr>
        <w:pStyle w:val="ListBullet"/>
      </w:pPr>
      <w:r>
        <w:t>Environment inventory and config/secrets inventory are current.</w:t>
      </w:r>
    </w:p>
    <w:p>
      <w:pPr>
        <w:pStyle w:val="ListBullet"/>
      </w:pPr>
      <w:r>
        <w:t>Deployment target matrix reflects current and future support.</w:t>
      </w:r>
    </w:p>
    <w:p>
      <w:pPr>
        <w:pStyle w:val="ListBullet"/>
      </w:pPr>
      <w:r>
        <w:t>Migration/rollback plan is documented for data changes.</w:t>
      </w:r>
    </w:p>
    <w:p>
      <w:pPr>
        <w:pStyle w:val="ListBullet"/>
      </w:pPr>
      <w:r>
        <w:t>Backup/restore expectations are recorded.</w:t>
      </w:r>
    </w:p>
    <w:p>
      <w:pPr>
        <w:pStyle w:val="ListBullet"/>
      </w:pPr>
      <w:r>
        <w:t>Smoke tests are documented and run.</w:t>
      </w:r>
    </w:p>
    <w:p>
      <w:pPr>
        <w:pStyle w:val="ListBullet"/>
      </w:pPr>
      <w:r>
        <w:t>Known delivery risks are reported.</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Universal Delivery / DevOps / Deployment Foundation - Version 1.0-Universal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Delivery / DevOps / Deployment Foundation Manual</dc:title>
  <dc:subject>Generic delivery, DevOps, deployment, operating profile, and release foundation for AI-assisted application construction</dc:subject>
  <dc:creator>OpenAI</dc:creator>
  <cp:keywords/>
  <dc:description>Generated as a reusable project foundation manual.</dc:description>
  <cp:lastModifiedBy/>
  <cp:revision>1</cp:revision>
  <dcterms:created xsi:type="dcterms:W3CDTF">2013-12-23T23:15:00Z</dcterms:created>
  <dcterms:modified xsi:type="dcterms:W3CDTF">2013-12-23T23:15:00Z</dcterms:modified>
  <cp:category/>
</cp:coreProperties>
</file>