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C78"/>
          <w:sz w:val="38"/>
        </w:rPr>
        <w:t>UNIVERSAL RUNTIME / OPERATIONS FOUNDATION</w:t>
      </w:r>
    </w:p>
    <w:p>
      <w:pPr>
        <w:jc w:val="center"/>
      </w:pPr>
      <w:r>
        <w:rPr>
          <w:b/>
          <w:sz w:val="26"/>
        </w:rPr>
        <w:t>Human and AI Implementation Manual</w:t>
      </w:r>
    </w:p>
    <w:p>
      <w:pPr>
        <w:jc w:val="center"/>
      </w:pPr>
      <w:r>
        <w:t>Version 1.0-Universal | Application Runtime, Jobs, Queues, Scheduling, Cache, Sessions, Failure Handling, and Operational Execution</w:t>
      </w:r>
    </w:p>
    <w:p/>
    <w:p>
      <w:r>
        <w:rPr>
          <w:b/>
        </w:rPr>
        <w:t xml:space="preserve">Purpose. </w:t>
      </w:r>
      <w:r>
        <w:t>This manual defines a stack-agnostic runtime and operations foundation for new and existing projects. It tells human architects and AI Coding Companions how application work should execute after a request, command, event, schedule, webhook, queue message, import, export, or system task is triggered. It complements the UI, API, Access Control, Data, and Application Core / Domain foundations by defining how work runs safely and recoverably.</w:t>
      </w:r>
    </w:p>
    <w:p>
      <w:pPr>
        <w:pStyle w:val="Heading1"/>
      </w:pPr>
      <w:r>
        <w:t>1. Executive Summary</w:t>
      </w:r>
    </w:p>
    <w:p>
      <w:r>
        <w:t>The Runtime / Operations Foundation fills the gap between domain architecture and deployment. The domain layer defines business behavior. The data layer defines records, datasets, persistence, lifecycle, and schema evolution. The API layer defines contracts and interaction boundaries. The access-control layer defines who may do what. The UI layer exposes workflows to people. Runtime defines how work actually executes: synchronously, asynchronously, scheduled, queued, retried, locked, cached, observed, and recovered.</w:t>
      </w:r>
    </w:p>
    <w:p>
      <w:r>
        <w:t>This foundation is not a deployment or DevOps manual. It does not require Kubernetes, cloud services, Kafka, RabbitMQ, Redis, or any particular infrastructure. It is designed to work from shared hosting to scalable SaaS. The key is not the technology; the key is that runtime behavior must be explicit, inventoried, safe to retry where needed, observable, and separated from business rules.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6"/>
              </w:rPr>
              <w:t>Problem</w:t>
            </w:r>
          </w:p>
        </w:tc>
        <w:tc>
          <w:tcPr>
            <w:tcW w:type="dxa" w:w="5112"/>
            <w:shd w:fill="D9EAF7"/>
            <w:vAlign w:val="center"/>
          </w:tcPr>
          <w:p>
            <w:r/>
            <w:r>
              <w:rPr>
                <w:b/>
                <w:sz w:val="16"/>
              </w:rPr>
              <w:t>Runtime correction</w:t>
            </w:r>
          </w:p>
        </w:tc>
      </w:tr>
      <w:tr>
        <w:tc>
          <w:tcPr>
            <w:tcW w:type="dxa" w:w="5112"/>
            <w:vAlign w:val="top"/>
          </w:tcPr>
          <w:p>
            <w:r/>
            <w:r>
              <w:rPr>
                <w:b w:val="0"/>
                <w:sz w:val="16"/>
              </w:rPr>
              <w:t>Business logic hidden in cron scripts or queue callbacks</w:t>
            </w:r>
          </w:p>
        </w:tc>
        <w:tc>
          <w:tcPr>
            <w:tcW w:type="dxa" w:w="5112"/>
            <w:vAlign w:val="top"/>
          </w:tcPr>
          <w:p>
            <w:r/>
            <w:r>
              <w:rPr>
                <w:b w:val="0"/>
                <w:sz w:val="16"/>
              </w:rPr>
              <w:t>Move behavior to Core use cases; runtime handlers only orchestrate execution.</w:t>
            </w:r>
          </w:p>
        </w:tc>
      </w:tr>
      <w:tr>
        <w:tc>
          <w:tcPr>
            <w:tcW w:type="dxa" w:w="5112"/>
            <w:vAlign w:val="top"/>
          </w:tcPr>
          <w:p>
            <w:r/>
            <w:r>
              <w:rPr>
                <w:b w:val="0"/>
                <w:sz w:val="16"/>
              </w:rPr>
              <w:t>Silent background failures</w:t>
            </w:r>
          </w:p>
        </w:tc>
        <w:tc>
          <w:tcPr>
            <w:tcW w:type="dxa" w:w="5112"/>
            <w:vAlign w:val="top"/>
          </w:tcPr>
          <w:p>
            <w:r/>
            <w:r>
              <w:rPr>
                <w:b w:val="0"/>
                <w:sz w:val="16"/>
              </w:rPr>
              <w:t>Define state, retry, dead-letter, logging, and manual-review rules.</w:t>
            </w:r>
          </w:p>
        </w:tc>
      </w:tr>
      <w:tr>
        <w:tc>
          <w:tcPr>
            <w:tcW w:type="dxa" w:w="5112"/>
            <w:vAlign w:val="top"/>
          </w:tcPr>
          <w:p>
            <w:r/>
            <w:r>
              <w:rPr>
                <w:b w:val="0"/>
                <w:sz w:val="16"/>
              </w:rPr>
              <w:t>Duplicate side effects from retries</w:t>
            </w:r>
          </w:p>
        </w:tc>
        <w:tc>
          <w:tcPr>
            <w:tcW w:type="dxa" w:w="5112"/>
            <w:vAlign w:val="top"/>
          </w:tcPr>
          <w:p>
            <w:r/>
            <w:r>
              <w:rPr>
                <w:b w:val="0"/>
                <w:sz w:val="16"/>
              </w:rPr>
              <w:t>Require idempotency and deduplication for retryable work.</w:t>
            </w:r>
          </w:p>
        </w:tc>
      </w:tr>
      <w:tr>
        <w:tc>
          <w:tcPr>
            <w:tcW w:type="dxa" w:w="5112"/>
            <w:vAlign w:val="top"/>
          </w:tcPr>
          <w:p>
            <w:r/>
            <w:r>
              <w:rPr>
                <w:b w:val="0"/>
                <w:sz w:val="16"/>
              </w:rPr>
              <w:t>Overbuilt infrastructure for small projects</w:t>
            </w:r>
          </w:p>
        </w:tc>
        <w:tc>
          <w:tcPr>
            <w:tcW w:type="dxa" w:w="5112"/>
            <w:vAlign w:val="top"/>
          </w:tcPr>
          <w:p>
            <w:r/>
            <w:r>
              <w:rPr>
                <w:b w:val="0"/>
                <w:sz w:val="16"/>
              </w:rPr>
              <w:t>Use runtime profiles and adapter decisions instead of imposing one queue/broker model.</w:t>
            </w:r>
          </w:p>
        </w:tc>
      </w:tr>
      <w:tr>
        <w:tc>
          <w:tcPr>
            <w:tcW w:type="dxa" w:w="5112"/>
            <w:vAlign w:val="top"/>
          </w:tcPr>
          <w:p>
            <w:r/>
            <w:r>
              <w:rPr>
                <w:b w:val="0"/>
                <w:sz w:val="16"/>
              </w:rPr>
              <w:t>Unsafe cache or session usage</w:t>
            </w:r>
          </w:p>
        </w:tc>
        <w:tc>
          <w:tcPr>
            <w:tcW w:type="dxa" w:w="5112"/>
            <w:vAlign w:val="top"/>
          </w:tcPr>
          <w:p>
            <w:r/>
            <w:r>
              <w:rPr>
                <w:b w:val="0"/>
                <w:sz w:val="16"/>
              </w:rPr>
              <w:t>Treat cache/session/temp data as runtime accelerators, never records of truth.</w:t>
            </w:r>
          </w:p>
        </w:tc>
      </w:tr>
    </w:tbl>
    <w:p/>
    <w:p>
      <w:pPr>
        <w:pStyle w:val="Heading1"/>
      </w:pPr>
      <w:r>
        <w:t>2. Scope of the Runtime Foundation</w:t>
      </w:r>
    </w:p>
    <w:p>
      <w:r>
        <w:t>Runtime includes request execution, API execution, CLI commands, scheduled jobs, background jobs, event consumers, webhook processors, worker daemons, imports, exports, batch processing, cache, sessions, locks, retries, timeouts, temporary files, progress tracking, maintenance tasks, and reconciliation tasks. It does not include server provisioning, CI/CD, cloud architecture, DNS, release pipelines, or infrastructure procurement; those belong later in Delivery / DevOps / Deployment.</w:t>
      </w:r>
    </w:p>
    <w:p>
      <w:pPr>
        <w:pStyle w:val="Heading1"/>
      </w:pPr>
      <w:r>
        <w:t>3. Core Doctrine</w:t>
      </w:r>
    </w:p>
    <w:p>
      <w:r>
        <w:t>Runtime executes work; it does not own business rules. A cron task, queue worker, webhook processor, or event consumer should load context, validate operational constraints, call a Core use case or application service, record the result, and emit operational signals. It should not contain the product workflow itself.</w:t>
      </w:r>
    </w:p>
    <w:p>
      <w:pPr>
        <w:pStyle w:val="Heading1"/>
      </w:pPr>
      <w:r>
        <w:t>4. New and Existing Projects</w:t>
      </w:r>
    </w:p>
    <w:p>
      <w:r>
        <w:t>For new projects, establish the runtime adapter early but implement only the runtime primitives required by the current vertical slice. For existing projects, first inventory current runtime behavior, then refactor incrementally. Valid working behavior must be preserved unless a migration is explicitly approved.</w:t>
      </w:r>
    </w:p>
    <w:p>
      <w:pPr>
        <w:pStyle w:val="Heading1"/>
      </w:pPr>
      <w:r>
        <w:t>5. Runtime Modes</w:t>
      </w:r>
    </w:p>
    <w:p>
      <w:r>
        <w:t>The same application may use multiple runtime modes: web request, API request, CLI command, scheduled job, background job, event consumer, webhook processor, worker daemon, batch/import/export task, and maintenance/reconciliation task. Every non-trivial operation should be classified by mode before 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6"/>
              </w:rPr>
              <w:t>Mode</w:t>
            </w:r>
          </w:p>
        </w:tc>
        <w:tc>
          <w:tcPr>
            <w:tcW w:type="dxa" w:w="3408"/>
            <w:shd w:fill="D9EAF7"/>
            <w:vAlign w:val="center"/>
          </w:tcPr>
          <w:p>
            <w:r/>
            <w:r>
              <w:rPr>
                <w:b/>
                <w:sz w:val="16"/>
              </w:rPr>
              <w:t>Primary risk</w:t>
            </w:r>
          </w:p>
        </w:tc>
        <w:tc>
          <w:tcPr>
            <w:tcW w:type="dxa" w:w="3408"/>
            <w:shd w:fill="D9EAF7"/>
            <w:vAlign w:val="center"/>
          </w:tcPr>
          <w:p>
            <w:r/>
            <w:r>
              <w:rPr>
                <w:b/>
                <w:sz w:val="16"/>
              </w:rPr>
              <w:t>Foundation rule</w:t>
            </w:r>
          </w:p>
        </w:tc>
      </w:tr>
      <w:tr>
        <w:tc>
          <w:tcPr>
            <w:tcW w:type="dxa" w:w="3408"/>
            <w:vAlign w:val="top"/>
          </w:tcPr>
          <w:p>
            <w:r/>
            <w:r>
              <w:rPr>
                <w:b w:val="0"/>
                <w:sz w:val="16"/>
              </w:rPr>
              <w:t>Web/API request</w:t>
            </w:r>
          </w:p>
        </w:tc>
        <w:tc>
          <w:tcPr>
            <w:tcW w:type="dxa" w:w="3408"/>
            <w:vAlign w:val="top"/>
          </w:tcPr>
          <w:p>
            <w:r/>
            <w:r>
              <w:rPr>
                <w:b w:val="0"/>
                <w:sz w:val="16"/>
              </w:rPr>
              <w:t>Blocking the user or mixing business logic into handlers</w:t>
            </w:r>
          </w:p>
        </w:tc>
        <w:tc>
          <w:tcPr>
            <w:tcW w:type="dxa" w:w="3408"/>
            <w:vAlign w:val="top"/>
          </w:tcPr>
          <w:p>
            <w:r/>
            <w:r>
              <w:rPr>
                <w:b w:val="0"/>
                <w:sz w:val="16"/>
              </w:rPr>
              <w:t>Keep requests short; call Core use cases; queue slow side effects.</w:t>
            </w:r>
          </w:p>
        </w:tc>
      </w:tr>
      <w:tr>
        <w:tc>
          <w:tcPr>
            <w:tcW w:type="dxa" w:w="3408"/>
            <w:vAlign w:val="top"/>
          </w:tcPr>
          <w:p>
            <w:r/>
            <w:r>
              <w:rPr>
                <w:b w:val="0"/>
                <w:sz w:val="16"/>
              </w:rPr>
              <w:t>Scheduled job</w:t>
            </w:r>
          </w:p>
        </w:tc>
        <w:tc>
          <w:tcPr>
            <w:tcW w:type="dxa" w:w="3408"/>
            <w:vAlign w:val="top"/>
          </w:tcPr>
          <w:p>
            <w:r/>
            <w:r>
              <w:rPr>
                <w:b w:val="0"/>
                <w:sz w:val="16"/>
              </w:rPr>
              <w:t>Hidden production behavior and overlapping runs</w:t>
            </w:r>
          </w:p>
        </w:tc>
        <w:tc>
          <w:tcPr>
            <w:tcW w:type="dxa" w:w="3408"/>
            <w:vAlign w:val="top"/>
          </w:tcPr>
          <w:p>
            <w:r/>
            <w:r>
              <w:rPr>
                <w:b w:val="0"/>
                <w:sz w:val="16"/>
              </w:rPr>
              <w:t>Inventory schedules; define lock, timezone, and failure policy.</w:t>
            </w:r>
          </w:p>
        </w:tc>
      </w:tr>
      <w:tr>
        <w:tc>
          <w:tcPr>
            <w:tcW w:type="dxa" w:w="3408"/>
            <w:vAlign w:val="top"/>
          </w:tcPr>
          <w:p>
            <w:r/>
            <w:r>
              <w:rPr>
                <w:b w:val="0"/>
                <w:sz w:val="16"/>
              </w:rPr>
              <w:t>Background job</w:t>
            </w:r>
          </w:p>
        </w:tc>
        <w:tc>
          <w:tcPr>
            <w:tcW w:type="dxa" w:w="3408"/>
            <w:vAlign w:val="top"/>
          </w:tcPr>
          <w:p>
            <w:r/>
            <w:r>
              <w:rPr>
                <w:b w:val="0"/>
                <w:sz w:val="16"/>
              </w:rPr>
              <w:t>Unsafe retries and invisible failures</w:t>
            </w:r>
          </w:p>
        </w:tc>
        <w:tc>
          <w:tcPr>
            <w:tcW w:type="dxa" w:w="3408"/>
            <w:vAlign w:val="top"/>
          </w:tcPr>
          <w:p>
            <w:r/>
            <w:r>
              <w:rPr>
                <w:b w:val="0"/>
                <w:sz w:val="16"/>
              </w:rPr>
              <w:t>Define payload schema, idempotency, retry, and terminal states.</w:t>
            </w:r>
          </w:p>
        </w:tc>
      </w:tr>
      <w:tr>
        <w:tc>
          <w:tcPr>
            <w:tcW w:type="dxa" w:w="3408"/>
            <w:vAlign w:val="top"/>
          </w:tcPr>
          <w:p>
            <w:r/>
            <w:r>
              <w:rPr>
                <w:b w:val="0"/>
                <w:sz w:val="16"/>
              </w:rPr>
              <w:t>Event consumer/webhook</w:t>
            </w:r>
          </w:p>
        </w:tc>
        <w:tc>
          <w:tcPr>
            <w:tcW w:type="dxa" w:w="3408"/>
            <w:vAlign w:val="top"/>
          </w:tcPr>
          <w:p>
            <w:r/>
            <w:r>
              <w:rPr>
                <w:b w:val="0"/>
                <w:sz w:val="16"/>
              </w:rPr>
              <w:t>Duplicate processing or unauthenticated external input</w:t>
            </w:r>
          </w:p>
        </w:tc>
        <w:tc>
          <w:tcPr>
            <w:tcW w:type="dxa" w:w="3408"/>
            <w:vAlign w:val="top"/>
          </w:tcPr>
          <w:p>
            <w:r/>
            <w:r>
              <w:rPr>
                <w:b w:val="0"/>
                <w:sz w:val="16"/>
              </w:rPr>
              <w:t>Validate contract/signature; use inbox/idempotency and retry policy.</w:t>
            </w:r>
          </w:p>
        </w:tc>
      </w:tr>
      <w:tr>
        <w:tc>
          <w:tcPr>
            <w:tcW w:type="dxa" w:w="3408"/>
            <w:vAlign w:val="top"/>
          </w:tcPr>
          <w:p>
            <w:r/>
            <w:r>
              <w:rPr>
                <w:b w:val="0"/>
                <w:sz w:val="16"/>
              </w:rPr>
              <w:t>Batch/import/export</w:t>
            </w:r>
          </w:p>
        </w:tc>
        <w:tc>
          <w:tcPr>
            <w:tcW w:type="dxa" w:w="3408"/>
            <w:vAlign w:val="top"/>
          </w:tcPr>
          <w:p>
            <w:r/>
            <w:r>
              <w:rPr>
                <w:b w:val="0"/>
                <w:sz w:val="16"/>
              </w:rPr>
              <w:t>Opaque long-running operation</w:t>
            </w:r>
          </w:p>
        </w:tc>
        <w:tc>
          <w:tcPr>
            <w:tcW w:type="dxa" w:w="3408"/>
            <w:vAlign w:val="top"/>
          </w:tcPr>
          <w:p>
            <w:r/>
            <w:r>
              <w:rPr>
                <w:b w:val="0"/>
                <w:sz w:val="16"/>
              </w:rPr>
              <w:t>Use chunks, progress, resumability, validation reports, and cleanup policy.</w:t>
            </w:r>
          </w:p>
        </w:tc>
      </w:tr>
    </w:tbl>
    <w:p/>
    <w:p>
      <w:pPr>
        <w:pStyle w:val="Heading1"/>
      </w:pPr>
      <w:r>
        <w:t>6. Runtime Architecture Layers</w:t>
      </w:r>
    </w:p>
    <w:p>
      <w:r>
        <w:t>Runtime should be layered as trigger adapter, runtime envelope, runtime orchestrator, Core use case, infrastructure adapter, state recorder, and observer. This keeps transport and infrastructure details outside the business rules and makes the application portable across hosting models.</w:t>
      </w:r>
    </w:p>
    <w:p>
      <w:pPr>
        <w:pStyle w:val="Heading1"/>
      </w:pPr>
      <w:r>
        <w:t>7. Synchronous vs Asynchronous Decisions</w:t>
      </w:r>
    </w:p>
    <w:p>
      <w:r>
        <w:t>Synchronous work is appropriate when the user needs the immediate result, the duration is short, and the operation is transactionally simple. Asynchronous work is appropriate when the operation is slow, fragile, external, high-volume, retryable, or better represented through progress/status.</w:t>
      </w:r>
    </w:p>
    <w:p>
      <w:pPr>
        <w:pStyle w:val="Heading1"/>
      </w:pPr>
      <w:r>
        <w:t>8. Jobs and Queues</w:t>
      </w:r>
    </w:p>
    <w:p>
      <w:r>
        <w:t>A job is a durable unit of work. Each job should have a key, owning domain module, trigger, payload schema, actor/system context, tenant/scope context, idempotency strategy, timeout, retry policy, dead-letter behavior, priority, concurrency policy, and observability requirements.</w:t>
      </w:r>
    </w:p>
    <w:p>
      <w:pPr>
        <w:pStyle w:val="Heading1"/>
      </w:pPr>
      <w:r>
        <w:t>9. Scheduling and Cron Discipline</w:t>
      </w:r>
    </w:p>
    <w:p>
      <w:r>
        <w:t>Scheduled tasks must not be hidden. Every scheduled task should be inventoried with schedule, timezone, environment, overlap policy, lock key, duration, retry behavior, alerting, and owner. Critical destructive tasks should support dry-run where practical.</w:t>
      </w:r>
    </w:p>
    <w:p>
      <w:pPr>
        <w:pStyle w:val="Heading1"/>
      </w:pPr>
      <w:r>
        <w:t>10. Event Consumers and Webhooks</w:t>
      </w:r>
    </w:p>
    <w:p>
      <w:r>
        <w:t>Event consumers and webhook processors must validate contracts before processing, record event or message IDs, prevent duplicate processing, define retry and poison-message behavior, and clearly separate external receipt from internal slow processing.</w:t>
      </w:r>
    </w:p>
    <w:p>
      <w:pPr>
        <w:pStyle w:val="Heading1"/>
      </w:pPr>
      <w:r>
        <w:t>11. Idempotency</w:t>
      </w:r>
    </w:p>
    <w:p>
      <w:r>
        <w:t>Idempotency is mandatory when retries, webhooks, events, imports, exports, external APIs, notifications, payments, billing, role changes, file generation, or other side effects are involved. A retry must not create duplicate external or business side effects.</w:t>
      </w:r>
    </w:p>
    <w:p>
      <w:pPr>
        <w:pStyle w:val="Heading1"/>
      </w:pPr>
      <w:r>
        <w:t>12. Failure Policy</w:t>
      </w:r>
    </w:p>
    <w:p>
      <w:r>
        <w:t>Failure policy must define validation failure, authorization failure, transient failure, rate limit, lock contention, data conflict, poison message, unknown exception, timeout, and partial success behavior. Infinite silent retries are forbidden.</w:t>
      </w:r>
    </w:p>
    <w:p>
      <w:pPr>
        <w:pStyle w:val="Heading1"/>
      </w:pPr>
      <w:r>
        <w:t>13. Runtime State and Progress</w:t>
      </w:r>
    </w:p>
    <w:p>
      <w:r>
        <w:t>Long-running or asynchronous work should expose states such as pending, queued, running, retrying, succeeded, partially_succeeded, failed, cancelled, expired, dead_lettered, or manual_review. The state model should be inspectable by humans and testable by automation.</w:t>
      </w:r>
    </w:p>
    <w:p>
      <w:pPr>
        <w:pStyle w:val="Heading1"/>
      </w:pPr>
      <w:r>
        <w:t>14. Locks and Concurrency</w:t>
      </w:r>
    </w:p>
    <w:p>
      <w:r>
        <w:t>Locks are required when duplicate or concurrent execution can corrupt data, overload systems, or violate business rules. Locks may be per tenant, resource, job, provider, file, database row, advisory lock, or distributed lock depending on the runtime adapter.</w:t>
      </w:r>
    </w:p>
    <w:p>
      <w:pPr>
        <w:pStyle w:val="Heading1"/>
      </w:pPr>
      <w:r>
        <w:t>15. Cache, Sessions, and Temporary Files</w:t>
      </w:r>
    </w:p>
    <w:p>
      <w:r>
        <w:t>Cache and sessions are accelerators, not records of truth. Cache keys must include tenant, user, scope, or capability context where relevant. Temporary files, exports, and generated artifacts require retention, cleanup, and access-control policies.</w:t>
      </w:r>
    </w:p>
    <w:p>
      <w:pPr>
        <w:pStyle w:val="Heading1"/>
      </w:pPr>
      <w:r>
        <w:t>16. Batch, Import, and Export Operations</w:t>
      </w:r>
    </w:p>
    <w:p>
      <w:r>
        <w:t>Large operations require chunking, progress tracking, resumability, cancellation, partial success handling, validation reports, duplicate detection, error reports, sensitive-data handling, retention cleanup, user notification, and audit trails when privileged.</w:t>
      </w:r>
    </w:p>
    <w:p>
      <w:pPr>
        <w:pStyle w:val="Heading1"/>
      </w:pPr>
      <w:r>
        <w:t>17. Outbox, Inbox, and Transaction Boundaries</w:t>
      </w:r>
    </w:p>
    <w:p>
      <w:r>
        <w:t>When a database transaction must also emit an event, enqueue a job, send a webhook, or call an external system, use an outbox or equivalent pattern unless a documented alternative exists. For inbound events, use an inbox or idempotency mechanism.</w:t>
      </w:r>
    </w:p>
    <w:p>
      <w:pPr>
        <w:pStyle w:val="Heading1"/>
      </w:pPr>
      <w:r>
        <w:t>18. Runtime Profiles</w:t>
      </w:r>
    </w:p>
    <w:p>
      <w:r>
        <w:t>A shared-hosting application may use cron, database-backed jobs, and filesystem locks. A VPS application may use systemd/supervisor workers. A scalable SaaS may use brokers, event mesh, DLQs, and distributed locks. The foundation does not force one profile; it forces the profile to be declared.</w:t>
      </w:r>
    </w:p>
    <w:p>
      <w:pPr>
        <w:pStyle w:val="Heading1"/>
      </w:pPr>
      <w:r>
        <w:t>19. Security and Access-Control Integration</w:t>
      </w:r>
    </w:p>
    <w:p>
      <w:r>
        <w:t>Runtime operations that act on behalf of users, tenants, service accounts, integrations, API tokens, admin actions, files, exports, billing, or security settings must carry the correct actor/system context and enforce ACL rules server-side.</w:t>
      </w:r>
    </w:p>
    <w:p>
      <w:pPr>
        <w:pStyle w:val="Heading1"/>
      </w:pPr>
      <w:r>
        <w:t>20. Data and API Integration</w:t>
      </w:r>
    </w:p>
    <w:p>
      <w:r>
        <w:t>Runtime must respect data lifecycle, tenant/scope containment, schema evolution, API contracts, event contracts, idempotency, and compatibility requirements. A queued payload or persisted event is a contract and must remain readable while live.</w:t>
      </w:r>
    </w:p>
    <w:p>
      <w:pPr>
        <w:pStyle w:val="Heading1"/>
      </w:pPr>
      <w:r>
        <w:t>21. Testing and Review</w:t>
      </w:r>
    </w:p>
    <w:p>
      <w:r>
        <w:t>Runtime testing must include success, failure, retry, idempotency, dead-letter/manual review, scheduler overlap, locks, cache/session safety, import/export progress, outbox/inbox behavior, and audit/observability where applicable.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6"/>
              </w:rPr>
              <w:t>Runtime profile</w:t>
            </w:r>
          </w:p>
        </w:tc>
        <w:tc>
          <w:tcPr>
            <w:tcW w:type="dxa" w:w="3408"/>
            <w:shd w:fill="D9EAF7"/>
            <w:vAlign w:val="center"/>
          </w:tcPr>
          <w:p>
            <w:r/>
            <w:r>
              <w:rPr>
                <w:b/>
                <w:sz w:val="16"/>
              </w:rPr>
              <w:t>Best-fit implementation style</w:t>
            </w:r>
          </w:p>
        </w:tc>
        <w:tc>
          <w:tcPr>
            <w:tcW w:type="dxa" w:w="3408"/>
            <w:shd w:fill="D9EAF7"/>
            <w:vAlign w:val="center"/>
          </w:tcPr>
          <w:p>
            <w:r/>
            <w:r>
              <w:rPr>
                <w:b/>
                <w:sz w:val="16"/>
              </w:rPr>
              <w:t>Caution</w:t>
            </w:r>
          </w:p>
        </w:tc>
      </w:tr>
      <w:tr>
        <w:tc>
          <w:tcPr>
            <w:tcW w:type="dxa" w:w="3408"/>
            <w:vAlign w:val="top"/>
          </w:tcPr>
          <w:p>
            <w:r/>
            <w:r>
              <w:rPr>
                <w:b w:val="0"/>
                <w:sz w:val="16"/>
              </w:rPr>
              <w:t>Shared hosting</w:t>
            </w:r>
          </w:p>
        </w:tc>
        <w:tc>
          <w:tcPr>
            <w:tcW w:type="dxa" w:w="3408"/>
            <w:vAlign w:val="top"/>
          </w:tcPr>
          <w:p>
            <w:r/>
            <w:r>
              <w:rPr>
                <w:b w:val="0"/>
                <w:sz w:val="16"/>
              </w:rPr>
              <w:t>Cron, DB-backed jobs, filesystem locks, lightweight mail/job queue</w:t>
            </w:r>
          </w:p>
        </w:tc>
        <w:tc>
          <w:tcPr>
            <w:tcW w:type="dxa" w:w="3408"/>
            <w:vAlign w:val="top"/>
          </w:tcPr>
          <w:p>
            <w:r/>
            <w:r>
              <w:rPr>
                <w:b w:val="0"/>
                <w:sz w:val="16"/>
              </w:rPr>
              <w:t>Do not require daemons or brokers the host cannot run.</w:t>
            </w:r>
          </w:p>
        </w:tc>
      </w:tr>
      <w:tr>
        <w:tc>
          <w:tcPr>
            <w:tcW w:type="dxa" w:w="3408"/>
            <w:vAlign w:val="top"/>
          </w:tcPr>
          <w:p>
            <w:r/>
            <w:r>
              <w:rPr>
                <w:b w:val="0"/>
                <w:sz w:val="16"/>
              </w:rPr>
              <w:t>Open-source distributable</w:t>
            </w:r>
          </w:p>
        </w:tc>
        <w:tc>
          <w:tcPr>
            <w:tcW w:type="dxa" w:w="3408"/>
            <w:vAlign w:val="top"/>
          </w:tcPr>
          <w:p>
            <w:r/>
            <w:r>
              <w:rPr>
                <w:b w:val="0"/>
                <w:sz w:val="16"/>
              </w:rPr>
              <w:t>Pluggable adapters and safe fallbacks</w:t>
            </w:r>
          </w:p>
        </w:tc>
        <w:tc>
          <w:tcPr>
            <w:tcW w:type="dxa" w:w="3408"/>
            <w:vAlign w:val="top"/>
          </w:tcPr>
          <w:p>
            <w:r/>
            <w:r>
              <w:rPr>
                <w:b w:val="0"/>
                <w:sz w:val="16"/>
              </w:rPr>
              <w:t>Do not hard-bind to proprietary infrastructure.</w:t>
            </w:r>
          </w:p>
        </w:tc>
      </w:tr>
      <w:tr>
        <w:tc>
          <w:tcPr>
            <w:tcW w:type="dxa" w:w="3408"/>
            <w:vAlign w:val="top"/>
          </w:tcPr>
          <w:p>
            <w:r/>
            <w:r>
              <w:rPr>
                <w:b w:val="0"/>
                <w:sz w:val="16"/>
              </w:rPr>
              <w:t>VPS/self-hosted</w:t>
            </w:r>
          </w:p>
        </w:tc>
        <w:tc>
          <w:tcPr>
            <w:tcW w:type="dxa" w:w="3408"/>
            <w:vAlign w:val="top"/>
          </w:tcPr>
          <w:p>
            <w:r/>
            <w:r>
              <w:rPr>
                <w:b w:val="0"/>
                <w:sz w:val="16"/>
              </w:rPr>
              <w:t>Supervisor/systemd workers, DB or Redis-compatible queues, cron</w:t>
            </w:r>
          </w:p>
        </w:tc>
        <w:tc>
          <w:tcPr>
            <w:tcW w:type="dxa" w:w="3408"/>
            <w:vAlign w:val="top"/>
          </w:tcPr>
          <w:p>
            <w:r/>
            <w:r>
              <w:rPr>
                <w:b w:val="0"/>
                <w:sz w:val="16"/>
              </w:rPr>
              <w:t>Document worker lifecycle and restart behavior.</w:t>
            </w:r>
          </w:p>
        </w:tc>
      </w:tr>
      <w:tr>
        <w:tc>
          <w:tcPr>
            <w:tcW w:type="dxa" w:w="3408"/>
            <w:vAlign w:val="top"/>
          </w:tcPr>
          <w:p>
            <w:r/>
            <w:r>
              <w:rPr>
                <w:b w:val="0"/>
                <w:sz w:val="16"/>
              </w:rPr>
              <w:t>On-prem/private server</w:t>
            </w:r>
          </w:p>
        </w:tc>
        <w:tc>
          <w:tcPr>
            <w:tcW w:type="dxa" w:w="3408"/>
            <w:vAlign w:val="top"/>
          </w:tcPr>
          <w:p>
            <w:r/>
            <w:r>
              <w:rPr>
                <w:b w:val="0"/>
                <w:sz w:val="16"/>
              </w:rPr>
              <w:t>Internal brokers, local queues, offline reconciliation</w:t>
            </w:r>
          </w:p>
        </w:tc>
        <w:tc>
          <w:tcPr>
            <w:tcW w:type="dxa" w:w="3408"/>
            <w:vAlign w:val="top"/>
          </w:tcPr>
          <w:p>
            <w:r/>
            <w:r>
              <w:rPr>
                <w:b w:val="0"/>
                <w:sz w:val="16"/>
              </w:rPr>
              <w:t>Avoid external dependencies unless approved.</w:t>
            </w:r>
          </w:p>
        </w:tc>
      </w:tr>
      <w:tr>
        <w:tc>
          <w:tcPr>
            <w:tcW w:type="dxa" w:w="3408"/>
            <w:vAlign w:val="top"/>
          </w:tcPr>
          <w:p>
            <w:r/>
            <w:r>
              <w:rPr>
                <w:b w:val="0"/>
                <w:sz w:val="16"/>
              </w:rPr>
              <w:t>Scalable SaaS</w:t>
            </w:r>
          </w:p>
        </w:tc>
        <w:tc>
          <w:tcPr>
            <w:tcW w:type="dxa" w:w="3408"/>
            <w:vAlign w:val="top"/>
          </w:tcPr>
          <w:p>
            <w:r/>
            <w:r>
              <w:rPr>
                <w:b w:val="0"/>
                <w:sz w:val="16"/>
              </w:rPr>
              <w:t>Dedicated broker, worker pools, DLQ, distributed locks, event mesh</w:t>
            </w:r>
          </w:p>
        </w:tc>
        <w:tc>
          <w:tcPr>
            <w:tcW w:type="dxa" w:w="3408"/>
            <w:vAlign w:val="top"/>
          </w:tcPr>
          <w:p>
            <w:r/>
            <w:r>
              <w:rPr>
                <w:b w:val="0"/>
                <w:sz w:val="16"/>
              </w:rPr>
              <w:t>Do not let infrastructure complexity leak into Core.</w:t>
            </w:r>
          </w:p>
        </w:tc>
      </w:tr>
      <w:tr>
        <w:tc>
          <w:tcPr>
            <w:tcW w:type="dxa" w:w="3408"/>
            <w:vAlign w:val="top"/>
          </w:tcPr>
          <w:p>
            <w:r/>
            <w:r>
              <w:rPr>
                <w:b w:val="0"/>
                <w:sz w:val="16"/>
              </w:rPr>
              <w:t>Cloud-native</w:t>
            </w:r>
          </w:p>
        </w:tc>
        <w:tc>
          <w:tcPr>
            <w:tcW w:type="dxa" w:w="3408"/>
            <w:vAlign w:val="top"/>
          </w:tcPr>
          <w:p>
            <w:r/>
            <w:r>
              <w:rPr>
                <w:b w:val="0"/>
                <w:sz w:val="16"/>
              </w:rPr>
              <w:t>Managed queues/schedulers/event buses/cache</w:t>
            </w:r>
          </w:p>
        </w:tc>
        <w:tc>
          <w:tcPr>
            <w:tcW w:type="dxa" w:w="3408"/>
            <w:vAlign w:val="top"/>
          </w:tcPr>
          <w:p>
            <w:r/>
            <w:r>
              <w:rPr>
                <w:b w:val="0"/>
                <w:sz w:val="16"/>
              </w:rPr>
              <w:t>Keep adapters portable and contracts explicit.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6"/>
              </w:rPr>
              <w:t>Inventory / file</w:t>
            </w:r>
          </w:p>
        </w:tc>
        <w:tc>
          <w:tcPr>
            <w:tcW w:type="dxa" w:w="5112"/>
            <w:shd w:fill="D9EAF7"/>
            <w:vAlign w:val="center"/>
          </w:tcPr>
          <w:p>
            <w:r/>
            <w:r>
              <w:rPr>
                <w:b/>
                <w:sz w:val="16"/>
              </w:rPr>
              <w:t>Purpose</w:t>
            </w:r>
          </w:p>
        </w:tc>
      </w:tr>
      <w:tr>
        <w:tc>
          <w:tcPr>
            <w:tcW w:type="dxa" w:w="5112"/>
            <w:vAlign w:val="top"/>
          </w:tcPr>
          <w:p>
            <w:r/>
            <w:r>
              <w:rPr>
                <w:b w:val="0"/>
                <w:sz w:val="16"/>
              </w:rPr>
              <w:t>runtime-adapter.md</w:t>
            </w:r>
          </w:p>
        </w:tc>
        <w:tc>
          <w:tcPr>
            <w:tcW w:type="dxa" w:w="5112"/>
            <w:vAlign w:val="top"/>
          </w:tcPr>
          <w:p>
            <w:r/>
            <w:r>
              <w:rPr>
                <w:b w:val="0"/>
                <w:sz w:val="16"/>
              </w:rPr>
              <w:t>Maps the universal foundation to the project runtime profile and actual technologies.</w:t>
            </w:r>
          </w:p>
        </w:tc>
      </w:tr>
      <w:tr>
        <w:tc>
          <w:tcPr>
            <w:tcW w:type="dxa" w:w="5112"/>
            <w:vAlign w:val="top"/>
          </w:tcPr>
          <w:p>
            <w:r/>
            <w:r>
              <w:rPr>
                <w:b w:val="0"/>
                <w:sz w:val="16"/>
              </w:rPr>
              <w:t>runtime-job-inventory.md</w:t>
            </w:r>
          </w:p>
        </w:tc>
        <w:tc>
          <w:tcPr>
            <w:tcW w:type="dxa" w:w="5112"/>
            <w:vAlign w:val="top"/>
          </w:tcPr>
          <w:p>
            <w:r/>
            <w:r>
              <w:rPr>
                <w:b w:val="0"/>
                <w:sz w:val="16"/>
              </w:rPr>
              <w:t>Lists durable background jobs and their operational contracts.</w:t>
            </w:r>
          </w:p>
        </w:tc>
      </w:tr>
      <w:tr>
        <w:tc>
          <w:tcPr>
            <w:tcW w:type="dxa" w:w="5112"/>
            <w:vAlign w:val="top"/>
          </w:tcPr>
          <w:p>
            <w:r/>
            <w:r>
              <w:rPr>
                <w:b w:val="0"/>
                <w:sz w:val="16"/>
              </w:rPr>
              <w:t>runtime-schedule-inventory.md</w:t>
            </w:r>
          </w:p>
        </w:tc>
        <w:tc>
          <w:tcPr>
            <w:tcW w:type="dxa" w:w="5112"/>
            <w:vAlign w:val="top"/>
          </w:tcPr>
          <w:p>
            <w:r/>
            <w:r>
              <w:rPr>
                <w:b w:val="0"/>
                <w:sz w:val="16"/>
              </w:rPr>
              <w:t>Lists cron/scheduled tasks and overlap/failure policies.</w:t>
            </w:r>
          </w:p>
        </w:tc>
      </w:tr>
      <w:tr>
        <w:tc>
          <w:tcPr>
            <w:tcW w:type="dxa" w:w="5112"/>
            <w:vAlign w:val="top"/>
          </w:tcPr>
          <w:p>
            <w:r/>
            <w:r>
              <w:rPr>
                <w:b w:val="0"/>
                <w:sz w:val="16"/>
              </w:rPr>
              <w:t>runtime-event-consumer-inventory.md</w:t>
            </w:r>
          </w:p>
        </w:tc>
        <w:tc>
          <w:tcPr>
            <w:tcW w:type="dxa" w:w="5112"/>
            <w:vAlign w:val="top"/>
          </w:tcPr>
          <w:p>
            <w:r/>
            <w:r>
              <w:rPr>
                <w:b w:val="0"/>
                <w:sz w:val="16"/>
              </w:rPr>
              <w:t>Lists internal event consumers and external webhook processors.</w:t>
            </w:r>
          </w:p>
        </w:tc>
      </w:tr>
      <w:tr>
        <w:tc>
          <w:tcPr>
            <w:tcW w:type="dxa" w:w="5112"/>
            <w:vAlign w:val="top"/>
          </w:tcPr>
          <w:p>
            <w:r/>
            <w:r>
              <w:rPr>
                <w:b w:val="0"/>
                <w:sz w:val="16"/>
              </w:rPr>
              <w:t>runtime-cache-session-inventory.md</w:t>
            </w:r>
          </w:p>
        </w:tc>
        <w:tc>
          <w:tcPr>
            <w:tcW w:type="dxa" w:w="5112"/>
            <w:vAlign w:val="top"/>
          </w:tcPr>
          <w:p>
            <w:r/>
            <w:r>
              <w:rPr>
                <w:b w:val="0"/>
                <w:sz w:val="16"/>
              </w:rPr>
              <w:t>Documents cache, sessions, temp files, exports, and runtime-only data.</w:t>
            </w:r>
          </w:p>
        </w:tc>
      </w:tr>
      <w:tr>
        <w:tc>
          <w:tcPr>
            <w:tcW w:type="dxa" w:w="5112"/>
            <w:vAlign w:val="top"/>
          </w:tcPr>
          <w:p>
            <w:r/>
            <w:r>
              <w:rPr>
                <w:b w:val="0"/>
                <w:sz w:val="16"/>
              </w:rPr>
              <w:t>runtime-failure-policy-matrix.md</w:t>
            </w:r>
          </w:p>
        </w:tc>
        <w:tc>
          <w:tcPr>
            <w:tcW w:type="dxa" w:w="5112"/>
            <w:vAlign w:val="top"/>
          </w:tcPr>
          <w:p>
            <w:r/>
            <w:r>
              <w:rPr>
                <w:b w:val="0"/>
                <w:sz w:val="16"/>
              </w:rPr>
              <w:t>Defines retry, timeout, terminal state, alerting, and manual-review behavior.</w:t>
            </w:r>
          </w:p>
        </w:tc>
      </w:tr>
      <w:tr>
        <w:tc>
          <w:tcPr>
            <w:tcW w:type="dxa" w:w="5112"/>
            <w:vAlign w:val="top"/>
          </w:tcPr>
          <w:p>
            <w:r/>
            <w:r>
              <w:rPr>
                <w:b w:val="0"/>
                <w:sz w:val="16"/>
              </w:rPr>
              <w:t>runtime-test-matrix.md</w:t>
            </w:r>
          </w:p>
        </w:tc>
        <w:tc>
          <w:tcPr>
            <w:tcW w:type="dxa" w:w="5112"/>
            <w:vAlign w:val="top"/>
          </w:tcPr>
          <w:p>
            <w:r/>
            <w:r>
              <w:rPr>
                <w:b w:val="0"/>
                <w:sz w:val="16"/>
              </w:rPr>
              <w:t>Tracks runtime test coverage.</w:t>
            </w:r>
          </w:p>
        </w:tc>
      </w:tr>
      <w:tr>
        <w:tc>
          <w:tcPr>
            <w:tcW w:type="dxa" w:w="5112"/>
            <w:vAlign w:val="top"/>
          </w:tcPr>
          <w:p>
            <w:r/>
            <w:r>
              <w:rPr>
                <w:b w:val="0"/>
                <w:sz w:val="16"/>
              </w:rPr>
              <w:t>runtime-review-checklist.md</w:t>
            </w:r>
          </w:p>
        </w:tc>
        <w:tc>
          <w:tcPr>
            <w:tcW w:type="dxa" w:w="5112"/>
            <w:vAlign w:val="top"/>
          </w:tcPr>
          <w:p>
            <w:r/>
            <w:r>
              <w:rPr>
                <w:b w:val="0"/>
                <w:sz w:val="16"/>
              </w:rPr>
              <w:t>Acceptance checklist for runtime changes.</w:t>
            </w:r>
          </w:p>
        </w:tc>
      </w:tr>
    </w:tbl>
    <w:p/>
    <w:p>
      <w:pPr>
        <w:pStyle w:val="Heading1"/>
      </w:pPr>
      <w:r>
        <w:t>22. Minimum Acceptance Standard</w:t>
      </w:r>
    </w:p>
    <w:p>
      <w:pPr/>
      <w:r>
        <w:t>- The runtime profile is declared.</w:t>
      </w:r>
    </w:p>
    <w:p>
      <w:pPr/>
      <w:r>
        <w:t>- Runtime handlers call Core use cases and do not contain business rules.</w:t>
      </w:r>
    </w:p>
    <w:p>
      <w:pPr/>
      <w:r>
        <w:t>- Non-trivial operations have timeout, retry, idempotency, failure, and observability policies.</w:t>
      </w:r>
    </w:p>
    <w:p>
      <w:pPr/>
      <w:r>
        <w:t>- Jobs, schedules, event consumers, and cache/session/temp data are inventoried.</w:t>
      </w:r>
    </w:p>
    <w:p>
      <w:pPr/>
      <w:r>
        <w:t>- Retryable or external-triggered work is idempotent or otherwise protected.</w:t>
      </w:r>
    </w:p>
    <w:p>
      <w:pPr/>
      <w:r>
        <w:t>- Long-running work exposes state/progress where relevant.</w:t>
      </w:r>
    </w:p>
    <w:p>
      <w:pPr/>
      <w:r>
        <w:t>- Cache, sessions, and temporary files do not become records of truth.</w:t>
      </w:r>
    </w:p>
    <w:p>
      <w:pPr/>
      <w:r>
        <w:t>- Tests cover success and failure paths.</w:t>
      </w:r>
    </w:p>
    <w:p>
      <w:pPr/>
      <w:r>
        <w:t>- Deferred runtime risks are documented.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Universal Runtime / Operations Foundation Manual | Version 1.0-Universal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