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20618E" w:rsidRDefault="0020618E">
      <w:pPr>
        <w:pStyle w:val="Puesto"/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17763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0514EA">
        <w:rPr>
          <w:lang w:val="es-ES"/>
        </w:rPr>
        <w:t>Guía Remisión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Puesto"/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17763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324042" w:rsidRPr="00E72036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324042" w:rsidRPr="00635F51">
        <w:rPr>
          <w:noProof/>
          <w:lang w:val="es-ES"/>
        </w:rPr>
        <w:t>1.</w:t>
      </w:r>
      <w:r w:rsidR="00324042"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24042" w:rsidRPr="00635F51">
        <w:rPr>
          <w:rFonts w:cs="Arial"/>
          <w:noProof/>
          <w:lang w:val="es-ES"/>
        </w:rPr>
        <w:t>Registrar Guía de Remisión</w:t>
      </w:r>
      <w:r w:rsidR="00324042" w:rsidRPr="00F80D52">
        <w:rPr>
          <w:noProof/>
          <w:lang w:val="es-PE"/>
        </w:rPr>
        <w:tab/>
      </w:r>
      <w:r w:rsidR="00324042">
        <w:rPr>
          <w:noProof/>
        </w:rPr>
        <w:fldChar w:fldCharType="begin"/>
      </w:r>
      <w:r w:rsidR="00324042" w:rsidRPr="00F80D52">
        <w:rPr>
          <w:noProof/>
          <w:lang w:val="es-PE"/>
        </w:rPr>
        <w:instrText xml:space="preserve"> PAGEREF _Toc421053220 \h </w:instrText>
      </w:r>
      <w:r w:rsidR="00324042">
        <w:rPr>
          <w:noProof/>
        </w:rPr>
      </w:r>
      <w:r w:rsidR="00324042">
        <w:rPr>
          <w:noProof/>
        </w:rPr>
        <w:fldChar w:fldCharType="separate"/>
      </w:r>
      <w:r w:rsidR="00324042" w:rsidRPr="00F80D52">
        <w:rPr>
          <w:noProof/>
          <w:lang w:val="es-PE"/>
        </w:rPr>
        <w:t>3</w:t>
      </w:r>
      <w:r w:rsidR="00324042">
        <w:rPr>
          <w:noProof/>
        </w:rPr>
        <w:fldChar w:fldCharType="end"/>
      </w:r>
    </w:p>
    <w:p w:rsidR="00324042" w:rsidRPr="00E72036" w:rsidRDefault="0032404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1.1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Descripción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_Toc421053221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2.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Actores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_Toc421053222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3.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Precondiciones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_Toc421053223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3.1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Existencia de contrato y cliente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_Toc421053224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4.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Flujo Básico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_Toc421053225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5.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Flujos Alternativos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_Toc421053226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b/>
          <w:noProof/>
          <w:lang w:val="es-ES"/>
        </w:rPr>
        <w:t>5.1.1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b/>
          <w:noProof/>
          <w:lang w:val="es-ES"/>
        </w:rPr>
        <w:t>Buscar Contrato</w:t>
      </w:r>
      <w:r w:rsidRPr="00635F51">
        <w:rPr>
          <w:noProof/>
          <w:lang w:val="es-ES"/>
        </w:rPr>
        <w:t>.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_Toc421053227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b/>
          <w:noProof/>
          <w:lang w:val="es-ES"/>
        </w:rPr>
        <w:t>5.1.2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b/>
          <w:noProof/>
          <w:lang w:val="es-ES"/>
        </w:rPr>
        <w:t>Buscar Cliente</w:t>
      </w:r>
      <w:r w:rsidRPr="00635F51">
        <w:rPr>
          <w:noProof/>
          <w:lang w:val="es-ES"/>
        </w:rPr>
        <w:t>.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_Toc421053228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324042" w:rsidRPr="00E72036" w:rsidRDefault="00324042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b/>
          <w:noProof/>
          <w:lang w:val="es-ES"/>
        </w:rPr>
        <w:t>5.1.3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b/>
          <w:noProof/>
          <w:lang w:val="es-ES"/>
        </w:rPr>
        <w:t>Cancelar Acción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_Toc421053229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6.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Escenarios Claves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_Toc421053230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7.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Poscondiciones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_Toc421053231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324042" w:rsidRPr="00E72036" w:rsidRDefault="00324042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7.1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Registro de Guía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_Toc421053232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324042" w:rsidRPr="00E72036" w:rsidRDefault="00324042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35F51">
        <w:rPr>
          <w:noProof/>
          <w:lang w:val="es-ES"/>
        </w:rPr>
        <w:t>8.</w:t>
      </w:r>
      <w:r w:rsidRPr="00E72036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35F51">
        <w:rPr>
          <w:noProof/>
          <w:lang w:val="es-ES"/>
        </w:rPr>
        <w:t>Requerimientos especiales</w:t>
      </w:r>
      <w:r w:rsidRPr="00F80D52">
        <w:rPr>
          <w:noProof/>
          <w:lang w:val="es-PE"/>
        </w:rPr>
        <w:tab/>
      </w:r>
      <w:r>
        <w:rPr>
          <w:noProof/>
        </w:rPr>
        <w:fldChar w:fldCharType="begin"/>
      </w:r>
      <w:r w:rsidRPr="00F80D52">
        <w:rPr>
          <w:noProof/>
          <w:lang w:val="es-PE"/>
        </w:rPr>
        <w:instrText xml:space="preserve"> PAGEREF _Toc421053233 \h </w:instrText>
      </w:r>
      <w:r>
        <w:rPr>
          <w:noProof/>
        </w:rPr>
      </w:r>
      <w:r>
        <w:rPr>
          <w:noProof/>
        </w:rPr>
        <w:fldChar w:fldCharType="separate"/>
      </w:r>
      <w:r w:rsidRPr="00F80D52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17763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C84626">
        <w:rPr>
          <w:lang w:val="es-ES"/>
        </w:rPr>
        <w:t xml:space="preserve">Registrar </w:t>
      </w:r>
      <w:r w:rsidR="000514EA">
        <w:rPr>
          <w:lang w:val="es-ES"/>
        </w:rPr>
        <w:t>Guía Remisión</w:t>
      </w:r>
    </w:p>
    <w:p w:rsidR="00177632" w:rsidRDefault="00177632">
      <w:pPr>
        <w:rPr>
          <w:lang w:val="es-ES"/>
        </w:rPr>
      </w:pPr>
    </w:p>
    <w:p w:rsidR="00177632" w:rsidRDefault="00C84626">
      <w:pPr>
        <w:pStyle w:val="Ttulo1"/>
        <w:rPr>
          <w:lang w:val="es-ES"/>
        </w:rPr>
      </w:pPr>
      <w:bookmarkStart w:id="2" w:name="_Toc421053220"/>
      <w:bookmarkStart w:id="3" w:name="_Toc423410238"/>
      <w:bookmarkStart w:id="4" w:name="_Toc425054504"/>
      <w:r>
        <w:rPr>
          <w:rFonts w:cs="Arial"/>
          <w:lang w:val="es-ES"/>
        </w:rPr>
        <w:t xml:space="preserve">Registrar </w:t>
      </w:r>
      <w:r w:rsidR="00B1761F">
        <w:rPr>
          <w:rFonts w:cs="Arial"/>
          <w:lang w:val="es-ES"/>
        </w:rPr>
        <w:t>Guía de Remisión</w:t>
      </w:r>
      <w:bookmarkEnd w:id="2"/>
    </w:p>
    <w:p w:rsidR="00177632" w:rsidRDefault="00951760">
      <w:pPr>
        <w:pStyle w:val="Ttulo2"/>
        <w:rPr>
          <w:lang w:val="es-ES"/>
        </w:rPr>
      </w:pPr>
      <w:bookmarkStart w:id="5" w:name="_Toc421053221"/>
      <w:r>
        <w:rPr>
          <w:lang w:val="es-ES"/>
        </w:rPr>
        <w:t>Descripción</w:t>
      </w:r>
      <w:bookmarkEnd w:id="3"/>
      <w:bookmarkEnd w:id="4"/>
      <w:bookmarkEnd w:id="5"/>
    </w:p>
    <w:p w:rsidR="00177632" w:rsidRDefault="00D35BE9" w:rsidP="00D35BE9">
      <w:pPr>
        <w:pStyle w:val="Textoindependiente2"/>
        <w:ind w:left="720"/>
        <w:rPr>
          <w:rFonts w:ascii="Arial" w:hAnsi="Arial" w:cs="Arial"/>
          <w:i w:val="0"/>
          <w:color w:val="auto"/>
          <w:lang w:val="es-PE" w:eastAsia="es-PE"/>
        </w:rPr>
      </w:pPr>
      <w:r w:rsidRPr="00D35BE9">
        <w:rPr>
          <w:rFonts w:ascii="Arial" w:hAnsi="Arial" w:cs="Arial"/>
          <w:i w:val="0"/>
          <w:color w:val="auto"/>
          <w:lang w:val="es-PE" w:eastAsia="es-PE"/>
        </w:rPr>
        <w:t xml:space="preserve">Este caso de uso </w:t>
      </w:r>
      <w:r w:rsidR="00B91928">
        <w:rPr>
          <w:rFonts w:ascii="Arial" w:hAnsi="Arial" w:cs="Arial"/>
          <w:i w:val="0"/>
          <w:color w:val="auto"/>
          <w:lang w:val="es-PE" w:eastAsia="es-PE"/>
        </w:rPr>
        <w:t>registrar guía de remisión le permite al administrador poder</w:t>
      </w:r>
      <w:r>
        <w:rPr>
          <w:rFonts w:ascii="Arial" w:hAnsi="Arial" w:cs="Arial"/>
          <w:i w:val="0"/>
          <w:color w:val="auto"/>
          <w:lang w:val="es-PE" w:eastAsia="es-PE"/>
        </w:rPr>
        <w:t xml:space="preserve"> registrar 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las </w:t>
      </w:r>
      <w:r w:rsidR="00622953">
        <w:rPr>
          <w:rFonts w:ascii="Arial" w:hAnsi="Arial" w:cs="Arial"/>
          <w:i w:val="0"/>
          <w:color w:val="auto"/>
          <w:lang w:val="es-PE" w:eastAsia="es-PE"/>
        </w:rPr>
        <w:t xml:space="preserve">Guías de remisión 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36464B">
        <w:rPr>
          <w:rFonts w:ascii="Arial" w:hAnsi="Arial" w:cs="Arial"/>
          <w:i w:val="0"/>
          <w:color w:val="auto"/>
          <w:lang w:val="es-PE" w:eastAsia="es-PE"/>
        </w:rPr>
        <w:t>hechas,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 dependiendo de un servicio dado</w:t>
      </w:r>
      <w:r>
        <w:rPr>
          <w:rFonts w:ascii="Arial" w:hAnsi="Arial" w:cs="Arial"/>
          <w:i w:val="0"/>
          <w:color w:val="auto"/>
          <w:lang w:val="es-PE" w:eastAsia="es-PE"/>
        </w:rPr>
        <w:t>.</w:t>
      </w:r>
    </w:p>
    <w:p w:rsidR="00DA66B5" w:rsidRDefault="00DA66B5" w:rsidP="007219EC">
      <w:pPr>
        <w:pStyle w:val="Ttulo1"/>
        <w:rPr>
          <w:lang w:val="es-ES"/>
        </w:rPr>
      </w:pPr>
      <w:bookmarkStart w:id="6" w:name="_Toc421053222"/>
      <w:r>
        <w:rPr>
          <w:lang w:val="es-ES"/>
        </w:rPr>
        <w:t>Actores</w:t>
      </w:r>
      <w:bookmarkEnd w:id="6"/>
    </w:p>
    <w:p w:rsidR="00DA66B5" w:rsidRDefault="00DA66B5" w:rsidP="00DA66B5">
      <w:pPr>
        <w:pStyle w:val="Ttulo1"/>
        <w:widowControl/>
        <w:rPr>
          <w:lang w:val="es-ES"/>
        </w:rPr>
      </w:pPr>
      <w:bookmarkStart w:id="7" w:name="_Toc423410253"/>
      <w:bookmarkStart w:id="8" w:name="_Toc425054512"/>
      <w:bookmarkStart w:id="9" w:name="_Toc421053223"/>
      <w:r>
        <w:rPr>
          <w:lang w:val="es-ES"/>
        </w:rPr>
        <w:t>Precondiciones</w:t>
      </w:r>
      <w:bookmarkEnd w:id="7"/>
      <w:bookmarkEnd w:id="8"/>
      <w:bookmarkEnd w:id="9"/>
    </w:p>
    <w:p w:rsidR="00DA66B5" w:rsidRDefault="00DA66B5" w:rsidP="00DA66B5">
      <w:pPr>
        <w:pStyle w:val="Ttulo2"/>
        <w:widowControl/>
        <w:rPr>
          <w:lang w:val="es-ES"/>
        </w:rPr>
      </w:pPr>
      <w:bookmarkStart w:id="10" w:name="_Toc421053224"/>
      <w:r>
        <w:rPr>
          <w:lang w:val="es-ES"/>
        </w:rPr>
        <w:t>Existencia de contrato y cliente</w:t>
      </w:r>
      <w:bookmarkEnd w:id="10"/>
    </w:p>
    <w:p w:rsidR="00DA66B5" w:rsidRDefault="00DA66B5" w:rsidP="00DA66B5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 xml:space="preserve">El asistente de </w:t>
      </w:r>
      <w:r>
        <w:rPr>
          <w:rFonts w:cs="Arial"/>
          <w:lang w:val="es-ES"/>
        </w:rPr>
        <w:t xml:space="preserve">recursos </w:t>
      </w:r>
      <w:r>
        <w:rPr>
          <w:rFonts w:ascii="Arial" w:hAnsi="Arial" w:cs="Arial"/>
          <w:lang w:val="es-ES"/>
        </w:rPr>
        <w:t>tiene que ingresar un contrato y  cliente.</w:t>
      </w:r>
    </w:p>
    <w:p w:rsidR="00DA66B5" w:rsidRPr="00DA66B5" w:rsidRDefault="00DA66B5" w:rsidP="00DA66B5">
      <w:pPr>
        <w:rPr>
          <w:lang w:val="es-ES"/>
        </w:rPr>
      </w:pPr>
    </w:p>
    <w:p w:rsidR="00177632" w:rsidRPr="00DA66B5" w:rsidRDefault="007219EC" w:rsidP="00A33D4F">
      <w:pPr>
        <w:pStyle w:val="Ttulo1"/>
        <w:widowControl/>
        <w:rPr>
          <w:lang w:val="es-ES"/>
        </w:rPr>
      </w:pPr>
      <w:bookmarkStart w:id="11" w:name="_Toc421053225"/>
      <w:r w:rsidRPr="00DA66B5">
        <w:rPr>
          <w:lang w:val="es-ES"/>
        </w:rPr>
        <w:t>Flujo</w:t>
      </w:r>
      <w:bookmarkStart w:id="12" w:name="_Toc423410240"/>
      <w:bookmarkStart w:id="13" w:name="_Toc425054506"/>
      <w:r w:rsidR="00951760" w:rsidRPr="00DA66B5">
        <w:rPr>
          <w:lang w:val="es-ES"/>
        </w:rPr>
        <w:t xml:space="preserve"> Básico</w:t>
      </w:r>
      <w:bookmarkEnd w:id="11"/>
      <w:bookmarkEnd w:id="12"/>
      <w:bookmarkEnd w:id="13"/>
      <w:r w:rsidR="00951760" w:rsidRPr="00DA66B5">
        <w:rPr>
          <w:lang w:val="es-ES"/>
        </w:rPr>
        <w:t xml:space="preserve"> </w:t>
      </w:r>
    </w:p>
    <w:p w:rsidR="00177632" w:rsidRDefault="00177632">
      <w:pPr>
        <w:ind w:left="426"/>
        <w:jc w:val="both"/>
        <w:rPr>
          <w:rFonts w:cs="Arial"/>
          <w:lang w:val="es-ES"/>
        </w:rPr>
      </w:pPr>
    </w:p>
    <w:p w:rsidR="00177632" w:rsidRDefault="0092255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empieza </w:t>
      </w:r>
      <w:r w:rsidR="0061689B">
        <w:rPr>
          <w:rFonts w:cs="Arial"/>
          <w:lang w:val="es-ES"/>
        </w:rPr>
        <w:t xml:space="preserve">cuando el </w:t>
      </w:r>
      <w:r>
        <w:rPr>
          <w:rFonts w:cs="Arial"/>
          <w:lang w:val="es-ES"/>
        </w:rPr>
        <w:t xml:space="preserve">asistente de </w:t>
      </w:r>
      <w:r w:rsidR="00931F56">
        <w:rPr>
          <w:rFonts w:cs="Arial"/>
          <w:lang w:val="es-ES"/>
        </w:rPr>
        <w:t xml:space="preserve">recursos </w:t>
      </w:r>
      <w:r w:rsidR="0061689B">
        <w:rPr>
          <w:rFonts w:cs="Arial"/>
          <w:lang w:val="es-ES"/>
        </w:rPr>
        <w:t xml:space="preserve">desea </w:t>
      </w:r>
      <w:r w:rsidR="009C6A2B">
        <w:rPr>
          <w:rFonts w:cs="Arial"/>
          <w:lang w:val="es-ES"/>
        </w:rPr>
        <w:t xml:space="preserve">registrar una nueva </w:t>
      </w:r>
      <w:r w:rsidR="00DF6357">
        <w:rPr>
          <w:rFonts w:cs="Arial"/>
          <w:lang w:val="es-ES"/>
        </w:rPr>
        <w:t>guía</w:t>
      </w:r>
      <w:r w:rsidR="00B37071">
        <w:rPr>
          <w:rFonts w:cs="Arial"/>
          <w:lang w:val="es-ES"/>
        </w:rPr>
        <w:t>.</w:t>
      </w:r>
    </w:p>
    <w:p w:rsidR="00224521" w:rsidRDefault="0022452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registrar guía de remisión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 w:rsidR="00B37071">
        <w:rPr>
          <w:rFonts w:cs="Arial"/>
          <w:lang w:val="es-ES"/>
        </w:rPr>
        <w:t>ingresa un cliente en la guía de remisión</w:t>
      </w:r>
      <w:r w:rsidR="00DF6357">
        <w:rPr>
          <w:rFonts w:cs="Arial"/>
          <w:lang w:val="es-ES"/>
        </w:rPr>
        <w:t>.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campos de </w:t>
      </w:r>
      <w:r w:rsidR="00DF6357">
        <w:rPr>
          <w:rFonts w:cs="Arial"/>
          <w:lang w:val="es-ES"/>
        </w:rPr>
        <w:t>ruta</w:t>
      </w:r>
      <w:r w:rsidR="00774820">
        <w:rPr>
          <w:rFonts w:cs="Arial"/>
          <w:lang w:val="es-ES"/>
        </w:rPr>
        <w:t>,</w:t>
      </w:r>
      <w:r w:rsidR="00DF6357">
        <w:rPr>
          <w:rFonts w:cs="Arial"/>
          <w:lang w:val="es-ES"/>
        </w:rPr>
        <w:t xml:space="preserve"> descripción,</w:t>
      </w:r>
      <w:r>
        <w:rPr>
          <w:rFonts w:cs="Arial"/>
          <w:lang w:val="es-ES"/>
        </w:rPr>
        <w:t xml:space="preserve"> </w:t>
      </w:r>
      <w:r w:rsidR="00DF6357">
        <w:rPr>
          <w:rFonts w:cs="Arial"/>
          <w:lang w:val="es-ES"/>
        </w:rPr>
        <w:t>Empresa destino, Monto</w:t>
      </w:r>
      <w:r>
        <w:rPr>
          <w:rFonts w:cs="Arial"/>
          <w:lang w:val="es-ES"/>
        </w:rPr>
        <w:t>.</w:t>
      </w:r>
    </w:p>
    <w:p w:rsidR="00B1761F" w:rsidRDefault="00B1761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922555">
        <w:rPr>
          <w:rFonts w:cs="Arial"/>
          <w:lang w:val="es-ES"/>
        </w:rPr>
        <w:t xml:space="preserve">asistente de </w:t>
      </w:r>
      <w:r w:rsidR="00931F56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busca el contrato que tomara esta guía como referencia.</w:t>
      </w:r>
    </w:p>
    <w:p w:rsidR="00F84A1D" w:rsidRDefault="00F84A1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muestra todos los detalles de contrato, de acuerdo al contrato ya ingresado.</w:t>
      </w:r>
    </w:p>
    <w:p w:rsidR="00201000" w:rsidRDefault="00402351" w:rsidP="008B3F9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 w:rsidR="00DF6357">
        <w:rPr>
          <w:rFonts w:cs="Arial"/>
          <w:lang w:val="es-ES"/>
        </w:rPr>
        <w:t xml:space="preserve">agrega </w:t>
      </w:r>
      <w:r w:rsidR="00B1761F">
        <w:rPr>
          <w:rFonts w:cs="Arial"/>
          <w:lang w:val="es-ES"/>
        </w:rPr>
        <w:t>el</w:t>
      </w:r>
      <w:r w:rsidR="00DF6357">
        <w:rPr>
          <w:rFonts w:cs="Arial"/>
          <w:lang w:val="es-ES"/>
        </w:rPr>
        <w:t xml:space="preserve"> detalle de contrato a detalle guía</w:t>
      </w:r>
      <w:r w:rsidR="008B3F9A">
        <w:rPr>
          <w:rFonts w:cs="Arial"/>
          <w:lang w:val="es-ES"/>
        </w:rPr>
        <w:t>.</w:t>
      </w:r>
    </w:p>
    <w:p w:rsidR="00F80D52" w:rsidRPr="008B3F9A" w:rsidRDefault="00F80D52" w:rsidP="008B3F9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recursos llena la descripción de la guía (cantidad, carga).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selecciona la opción guardar</w:t>
      </w:r>
      <w:r w:rsidR="00B1761F">
        <w:rPr>
          <w:rFonts w:cs="Arial"/>
          <w:lang w:val="es-ES"/>
        </w:rPr>
        <w:t>.</w:t>
      </w:r>
    </w:p>
    <w:p w:rsidR="0061689B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finaliza.</w:t>
      </w:r>
    </w:p>
    <w:p w:rsidR="00177632" w:rsidRDefault="00177632">
      <w:pPr>
        <w:pStyle w:val="InfoBlue"/>
        <w:ind w:left="0"/>
      </w:pPr>
    </w:p>
    <w:p w:rsidR="00177632" w:rsidRDefault="00951760" w:rsidP="00DA66B5">
      <w:pPr>
        <w:pStyle w:val="Ttulo1"/>
        <w:rPr>
          <w:lang w:val="es-ES"/>
        </w:rPr>
      </w:pPr>
      <w:bookmarkStart w:id="14" w:name="_Toc423410241"/>
      <w:bookmarkStart w:id="15" w:name="_Toc425054507"/>
      <w:bookmarkStart w:id="16" w:name="_Toc421053226"/>
      <w:r>
        <w:rPr>
          <w:lang w:val="es-ES"/>
        </w:rPr>
        <w:t>Flujos Alternativos</w:t>
      </w:r>
      <w:bookmarkEnd w:id="14"/>
      <w:bookmarkEnd w:id="15"/>
      <w:bookmarkEnd w:id="16"/>
    </w:p>
    <w:p w:rsidR="0036464B" w:rsidRDefault="0036464B" w:rsidP="0036464B">
      <w:pPr>
        <w:pStyle w:val="Ttulo3"/>
        <w:widowControl/>
        <w:rPr>
          <w:lang w:val="es-ES"/>
        </w:rPr>
      </w:pPr>
      <w:bookmarkStart w:id="17" w:name="_Toc421053227"/>
      <w:r w:rsidRPr="0036464B">
        <w:rPr>
          <w:b/>
          <w:lang w:val="es-ES"/>
        </w:rPr>
        <w:t>Buscar Contrato</w:t>
      </w:r>
      <w:r>
        <w:rPr>
          <w:lang w:val="es-ES"/>
        </w:rPr>
        <w:t>.</w:t>
      </w:r>
      <w:bookmarkEnd w:id="17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lang w:val="es-ES"/>
        </w:rPr>
        <w:t xml:space="preserve">en el punto </w:t>
      </w:r>
      <w:r w:rsidR="008B3F9A">
        <w:rPr>
          <w:lang w:val="es-ES"/>
        </w:rPr>
        <w:t>2</w:t>
      </w:r>
      <w:r>
        <w:rPr>
          <w:lang w:val="es-ES"/>
        </w:rPr>
        <w:t xml:space="preserve"> puede buscar a un </w:t>
      </w:r>
      <w:r w:rsidR="008B3F9A">
        <w:rPr>
          <w:lang w:val="es-ES"/>
        </w:rPr>
        <w:t>contrato (</w:t>
      </w:r>
      <w:r>
        <w:rPr>
          <w:lang w:val="es-ES"/>
        </w:rPr>
        <w:t>llama al caso de uso buscar Contrato).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lang w:val="es-ES"/>
        </w:rPr>
        <w:t>selecciona la opción “Seleccionar”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caso de uso muestra la información del contrato</w:t>
      </w:r>
    </w:p>
    <w:p w:rsidR="0036464B" w:rsidRDefault="00063341" w:rsidP="0036464B">
      <w:pPr>
        <w:pStyle w:val="Ttulo3"/>
        <w:widowControl/>
        <w:rPr>
          <w:lang w:val="es-ES"/>
        </w:rPr>
      </w:pPr>
      <w:bookmarkStart w:id="18" w:name="_Toc421053228"/>
      <w:r>
        <w:rPr>
          <w:b/>
          <w:lang w:val="es-ES"/>
        </w:rPr>
        <w:t>Buscar Cliente</w:t>
      </w:r>
      <w:r w:rsidR="0036464B">
        <w:rPr>
          <w:lang w:val="es-ES"/>
        </w:rPr>
        <w:t>.</w:t>
      </w:r>
      <w:bookmarkEnd w:id="18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lang w:val="es-ES"/>
        </w:rPr>
        <w:t xml:space="preserve">puede buscar a un </w:t>
      </w:r>
      <w:r w:rsidR="006B79A9">
        <w:rPr>
          <w:lang w:val="es-ES"/>
        </w:rPr>
        <w:t>cliente</w:t>
      </w:r>
      <w:r w:rsidR="00C546AB">
        <w:rPr>
          <w:lang w:val="es-ES"/>
        </w:rPr>
        <w:t xml:space="preserve"> (</w:t>
      </w:r>
      <w:r>
        <w:rPr>
          <w:lang w:val="es-ES"/>
        </w:rPr>
        <w:t xml:space="preserve">llama al caso de uso buscar </w:t>
      </w:r>
      <w:r w:rsidR="00F07BA2">
        <w:rPr>
          <w:lang w:val="es-ES"/>
        </w:rPr>
        <w:t>Cliente</w:t>
      </w:r>
      <w:r>
        <w:rPr>
          <w:lang w:val="es-ES"/>
        </w:rPr>
        <w:t>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</w:t>
      </w:r>
      <w:r w:rsidR="00931F56">
        <w:rPr>
          <w:rFonts w:cs="Arial"/>
          <w:lang w:val="es-ES"/>
        </w:rPr>
        <w:t xml:space="preserve">recursos </w:t>
      </w:r>
      <w:r>
        <w:rPr>
          <w:lang w:val="es-ES"/>
        </w:rPr>
        <w:t>selecciona la opción “Seleccionar”</w:t>
      </w:r>
    </w:p>
    <w:p w:rsidR="0036464B" w:rsidRP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caso de uso muestra la información del </w:t>
      </w:r>
      <w:r w:rsidR="00A828C4">
        <w:rPr>
          <w:lang w:val="es-ES"/>
        </w:rPr>
        <w:t>Cliente</w:t>
      </w:r>
    </w:p>
    <w:p w:rsidR="0036464B" w:rsidRPr="0036464B" w:rsidRDefault="0036464B" w:rsidP="0036464B">
      <w:pPr>
        <w:rPr>
          <w:lang w:val="es-ES"/>
        </w:rPr>
      </w:pPr>
    </w:p>
    <w:p w:rsidR="00177632" w:rsidRPr="00E93FDF" w:rsidRDefault="00E93FDF">
      <w:pPr>
        <w:pStyle w:val="Ttulo3"/>
        <w:widowControl/>
        <w:rPr>
          <w:b/>
          <w:lang w:val="es-ES"/>
        </w:rPr>
      </w:pPr>
      <w:bookmarkStart w:id="19" w:name="_Toc421053229"/>
      <w:r w:rsidRPr="00E93FDF">
        <w:rPr>
          <w:b/>
          <w:lang w:val="es-ES"/>
        </w:rPr>
        <w:lastRenderedPageBreak/>
        <w:t>Cancelar Acción</w:t>
      </w:r>
      <w:bookmarkEnd w:id="19"/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177632" w:rsidRPr="00E93FDF" w:rsidRDefault="00E93FDF" w:rsidP="00E93FDF">
      <w:pPr>
        <w:pStyle w:val="Ttulo4"/>
        <w:rPr>
          <w:lang w:val="es-PE"/>
        </w:rPr>
      </w:pPr>
      <w:r>
        <w:rPr>
          <w:lang w:val="es-ES"/>
        </w:rPr>
        <w:t>El caso de uso termina.</w:t>
      </w:r>
      <w:r w:rsidRPr="00E93FDF">
        <w:rPr>
          <w:lang w:val="es-PE"/>
        </w:rPr>
        <w:t xml:space="preserve"> </w:t>
      </w:r>
    </w:p>
    <w:p w:rsidR="00DA66B5" w:rsidRDefault="00DA66B5" w:rsidP="007219EC">
      <w:pPr>
        <w:pStyle w:val="Ttulo1"/>
        <w:widowControl/>
        <w:rPr>
          <w:lang w:val="es-ES"/>
        </w:rPr>
      </w:pPr>
      <w:bookmarkStart w:id="20" w:name="_Toc421053230"/>
      <w:r>
        <w:rPr>
          <w:lang w:val="es-ES"/>
        </w:rPr>
        <w:t>Escenarios Claves</w:t>
      </w:r>
      <w:bookmarkEnd w:id="20"/>
    </w:p>
    <w:p w:rsidR="00227384" w:rsidRPr="00227384" w:rsidRDefault="00227384" w:rsidP="00227384">
      <w:pPr>
        <w:ind w:left="720"/>
        <w:rPr>
          <w:lang w:val="es-ES"/>
        </w:rPr>
      </w:pPr>
      <w:r>
        <w:rPr>
          <w:lang w:val="es-ES"/>
        </w:rPr>
        <w:t>Ingresar todos los datos correctamente.</w:t>
      </w:r>
    </w:p>
    <w:p w:rsidR="00177632" w:rsidRPr="007219EC" w:rsidRDefault="00951760" w:rsidP="007219EC">
      <w:pPr>
        <w:pStyle w:val="Ttulo1"/>
        <w:widowControl/>
        <w:rPr>
          <w:lang w:val="es-ES"/>
        </w:rPr>
      </w:pPr>
      <w:bookmarkStart w:id="21" w:name="_Toc421053231"/>
      <w:r>
        <w:rPr>
          <w:lang w:val="es-ES"/>
        </w:rPr>
        <w:t>Poscondiciones</w:t>
      </w:r>
      <w:bookmarkEnd w:id="21"/>
    </w:p>
    <w:p w:rsidR="00177632" w:rsidRDefault="0036464B">
      <w:pPr>
        <w:pStyle w:val="Ttulo2"/>
        <w:widowControl/>
        <w:rPr>
          <w:lang w:val="es-ES"/>
        </w:rPr>
      </w:pPr>
      <w:bookmarkStart w:id="22" w:name="_Toc421053232"/>
      <w:r>
        <w:rPr>
          <w:lang w:val="es-ES"/>
        </w:rPr>
        <w:t xml:space="preserve">Registro de </w:t>
      </w:r>
      <w:r w:rsidR="008B3F9A">
        <w:rPr>
          <w:lang w:val="es-ES"/>
        </w:rPr>
        <w:t>Guía</w:t>
      </w:r>
      <w:bookmarkEnd w:id="22"/>
    </w:p>
    <w:p w:rsidR="00177632" w:rsidRDefault="008B3F9A" w:rsidP="007219EC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>La guía queda registrada,</w:t>
      </w:r>
      <w:r w:rsidR="007219EC">
        <w:rPr>
          <w:rFonts w:ascii="Arial" w:hAnsi="Arial" w:cs="Arial"/>
          <w:lang w:val="es-ES"/>
        </w:rPr>
        <w:t xml:space="preserve"> posteriormente ser buscado en caso sea necesario</w:t>
      </w:r>
      <w:r w:rsidR="007219EC" w:rsidRPr="007219EC">
        <w:rPr>
          <w:rFonts w:ascii="Arial" w:hAnsi="Arial" w:cs="Arial"/>
          <w:lang w:val="es-ES"/>
        </w:rPr>
        <w:t>.</w:t>
      </w:r>
      <w:r w:rsidR="007219EC">
        <w:rPr>
          <w:lang w:val="es-ES"/>
        </w:rPr>
        <w:t xml:space="preserve"> </w:t>
      </w:r>
    </w:p>
    <w:p w:rsidR="00177632" w:rsidRDefault="00177632">
      <w:pPr>
        <w:rPr>
          <w:lang w:val="es-ES"/>
        </w:rPr>
      </w:pPr>
    </w:p>
    <w:p w:rsidR="00C80F0F" w:rsidRPr="00DA66B5" w:rsidRDefault="00DA66B5" w:rsidP="003B07D9">
      <w:pPr>
        <w:pStyle w:val="Ttulo1"/>
        <w:rPr>
          <w:u w:val="single"/>
          <w:lang w:val="es-ES"/>
        </w:rPr>
      </w:pPr>
      <w:bookmarkStart w:id="23" w:name="_Toc421053233"/>
      <w:r w:rsidRPr="00DA66B5">
        <w:rPr>
          <w:lang w:val="es-ES"/>
        </w:rPr>
        <w:t>Requerimientos especiales</w:t>
      </w:r>
      <w:bookmarkStart w:id="24" w:name="_GoBack"/>
      <w:bookmarkEnd w:id="23"/>
      <w:bookmarkEnd w:id="24"/>
    </w:p>
    <w:sectPr w:rsidR="00C80F0F" w:rsidRPr="00DA66B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D1" w:rsidRDefault="007022D1">
      <w:pPr>
        <w:spacing w:line="240" w:lineRule="auto"/>
      </w:pPr>
      <w:r>
        <w:separator/>
      </w:r>
    </w:p>
  </w:endnote>
  <w:endnote w:type="continuationSeparator" w:id="0">
    <w:p w:rsidR="007022D1" w:rsidRDefault="00702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 w:rsidP="00C846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84626" w:rsidRPr="00C84626">
            <w:rPr>
              <w:lang w:val="es-ES"/>
            </w:rPr>
            <w:t>Transportes EDVI</w:t>
          </w:r>
          <w:r w:rsidRPr="00C8462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0D5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80D5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177632" w:rsidRDefault="00177632" w:rsidP="00C8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D1" w:rsidRDefault="007022D1">
      <w:pPr>
        <w:spacing w:line="240" w:lineRule="auto"/>
      </w:pPr>
      <w:r>
        <w:separator/>
      </w:r>
    </w:p>
  </w:footnote>
  <w:footnote w:type="continuationSeparator" w:id="0">
    <w:p w:rsidR="007022D1" w:rsidRDefault="00702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632">
      <w:tc>
        <w:tcPr>
          <w:tcW w:w="6379" w:type="dxa"/>
        </w:tcPr>
        <w:p w:rsidR="00177632" w:rsidRDefault="00C84626" w:rsidP="00C8462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  <w:r w:rsidR="00951760"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752C8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52C8F">
            <w:rPr>
              <w:lang w:val="es-ES"/>
            </w:rPr>
            <w:t>1</w:t>
          </w:r>
          <w:r>
            <w:rPr>
              <w:lang w:val="es-ES"/>
            </w:rPr>
            <w:t>.</w:t>
          </w:r>
          <w:r w:rsidR="00752C8F">
            <w:rPr>
              <w:lang w:val="es-ES"/>
            </w:rPr>
            <w:t>0</w:t>
          </w:r>
        </w:p>
      </w:tc>
    </w:tr>
    <w:tr w:rsidR="00177632">
      <w:tc>
        <w:tcPr>
          <w:tcW w:w="6379" w:type="dxa"/>
        </w:tcPr>
        <w:p w:rsidR="00177632" w:rsidRDefault="00951760" w:rsidP="000514EA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C84626">
            <w:rPr>
              <w:lang w:val="es-ES"/>
            </w:rPr>
            <w:t xml:space="preserve"> Registrar </w:t>
          </w:r>
          <w:r w:rsidR="000514EA">
            <w:rPr>
              <w:lang w:val="es-ES"/>
            </w:rPr>
            <w:t xml:space="preserve">Guía Remisión </w:t>
          </w:r>
        </w:p>
      </w:tc>
      <w:tc>
        <w:tcPr>
          <w:tcW w:w="3179" w:type="dxa"/>
        </w:tcPr>
        <w:p w:rsidR="00177632" w:rsidRDefault="00951760" w:rsidP="00737C7F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C05647">
            <w:rPr>
              <w:lang w:val="es-ES"/>
            </w:rPr>
            <w:t>02/06/2015</w:t>
          </w:r>
        </w:p>
      </w:tc>
    </w:tr>
    <w:tr w:rsidR="00177632" w:rsidRPr="00F80D52">
      <w:tc>
        <w:tcPr>
          <w:tcW w:w="9558" w:type="dxa"/>
          <w:gridSpan w:val="2"/>
        </w:tcPr>
        <w:p w:rsidR="00177632" w:rsidRDefault="00737C7F" w:rsidP="00C84626">
          <w:pPr>
            <w:rPr>
              <w:lang w:val="es-ES"/>
            </w:rPr>
          </w:pPr>
          <w:r>
            <w:rPr>
              <w:lang w:val="es-ES"/>
            </w:rPr>
            <w:t>Caso de uso del Sistema</w:t>
          </w:r>
        </w:p>
      </w:tc>
    </w:tr>
  </w:tbl>
  <w:p w:rsidR="00177632" w:rsidRDefault="0017763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F506B2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022B3E"/>
    <w:multiLevelType w:val="hybridMultilevel"/>
    <w:tmpl w:val="64407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7E752A3"/>
    <w:multiLevelType w:val="hybridMultilevel"/>
    <w:tmpl w:val="0CA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5D0228"/>
    <w:multiLevelType w:val="multilevel"/>
    <w:tmpl w:val="DD98A6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17"/>
  </w:num>
  <w:num w:numId="24">
    <w:abstractNumId w:val="12"/>
  </w:num>
  <w:num w:numId="25">
    <w:abstractNumId w:val="0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514EA"/>
    <w:rsid w:val="00063341"/>
    <w:rsid w:val="000F71A7"/>
    <w:rsid w:val="00142B90"/>
    <w:rsid w:val="00157375"/>
    <w:rsid w:val="00177632"/>
    <w:rsid w:val="001D5C32"/>
    <w:rsid w:val="001E67A7"/>
    <w:rsid w:val="00201000"/>
    <w:rsid w:val="0020618E"/>
    <w:rsid w:val="00206E5A"/>
    <w:rsid w:val="00213DC3"/>
    <w:rsid w:val="00224521"/>
    <w:rsid w:val="00227384"/>
    <w:rsid w:val="002317B4"/>
    <w:rsid w:val="002725AC"/>
    <w:rsid w:val="002F110B"/>
    <w:rsid w:val="0030079A"/>
    <w:rsid w:val="00324042"/>
    <w:rsid w:val="0033707E"/>
    <w:rsid w:val="003548B0"/>
    <w:rsid w:val="0036464B"/>
    <w:rsid w:val="00370E63"/>
    <w:rsid w:val="003D2FC0"/>
    <w:rsid w:val="00402351"/>
    <w:rsid w:val="00427C5B"/>
    <w:rsid w:val="00460856"/>
    <w:rsid w:val="005E6718"/>
    <w:rsid w:val="006031FA"/>
    <w:rsid w:val="0061689B"/>
    <w:rsid w:val="00622953"/>
    <w:rsid w:val="0066498B"/>
    <w:rsid w:val="00687209"/>
    <w:rsid w:val="006B79A9"/>
    <w:rsid w:val="006C1A98"/>
    <w:rsid w:val="007022D1"/>
    <w:rsid w:val="007219EC"/>
    <w:rsid w:val="00737C7F"/>
    <w:rsid w:val="00752C8F"/>
    <w:rsid w:val="00774820"/>
    <w:rsid w:val="008B3F9A"/>
    <w:rsid w:val="00922555"/>
    <w:rsid w:val="00931F56"/>
    <w:rsid w:val="00943907"/>
    <w:rsid w:val="00951760"/>
    <w:rsid w:val="009525D5"/>
    <w:rsid w:val="009660F1"/>
    <w:rsid w:val="009C6A2B"/>
    <w:rsid w:val="00A828C4"/>
    <w:rsid w:val="00B1761F"/>
    <w:rsid w:val="00B37071"/>
    <w:rsid w:val="00B537D4"/>
    <w:rsid w:val="00B91928"/>
    <w:rsid w:val="00B941A3"/>
    <w:rsid w:val="00BD7444"/>
    <w:rsid w:val="00C05647"/>
    <w:rsid w:val="00C546AB"/>
    <w:rsid w:val="00C71650"/>
    <w:rsid w:val="00C80F0F"/>
    <w:rsid w:val="00C84626"/>
    <w:rsid w:val="00CB6B58"/>
    <w:rsid w:val="00D35BE9"/>
    <w:rsid w:val="00DA2A36"/>
    <w:rsid w:val="00DA66B5"/>
    <w:rsid w:val="00DB378A"/>
    <w:rsid w:val="00DC5404"/>
    <w:rsid w:val="00DF6357"/>
    <w:rsid w:val="00E02764"/>
    <w:rsid w:val="00E10518"/>
    <w:rsid w:val="00E36B22"/>
    <w:rsid w:val="00E5737B"/>
    <w:rsid w:val="00E72036"/>
    <w:rsid w:val="00E745BD"/>
    <w:rsid w:val="00E82CB6"/>
    <w:rsid w:val="00E93FDF"/>
    <w:rsid w:val="00F07BA2"/>
    <w:rsid w:val="00F140EE"/>
    <w:rsid w:val="00F3534A"/>
    <w:rsid w:val="00F80D52"/>
    <w:rsid w:val="00F84A1D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2EB179-AA53-4359-8854-CD2AB0B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Vehículos</vt:lpstr>
    </vt:vector>
  </TitlesOfParts>
  <Company>Transportes EDVI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Vehículos</dc:title>
  <dc:subject>Software EDVI</dc:subject>
  <dc:creator>Samuel</dc:creator>
  <cp:lastModifiedBy>Jhan Pier Rabanal Sangay</cp:lastModifiedBy>
  <cp:revision>79</cp:revision>
  <dcterms:created xsi:type="dcterms:W3CDTF">2010-05-28T02:16:00Z</dcterms:created>
  <dcterms:modified xsi:type="dcterms:W3CDTF">2015-06-12T20:39:00Z</dcterms:modified>
</cp:coreProperties>
</file>