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DOCUMENTO MAESTRO 01</w:t>
      </w:r>
    </w:p>
    <w:p>
      <w:pPr>
        <w:pStyle w:val="Heading2"/>
      </w:pPr>
      <w:r>
        <w:t>ENTERPRISE AI OS – VISIÓN DEFINITIVA DEL PROYECTO</w:t>
      </w:r>
    </w:p>
    <w:p>
      <w:r>
        <w:rPr>
          <w:b/>
        </w:rPr>
        <w:t xml:space="preserve">Estado: </w:t>
      </w:r>
      <w:r>
        <w:t>APROBADO Y CONGELADO PARA EL MVP</w:t>
        <w:br/>
      </w:r>
      <w:r>
        <w:rPr>
          <w:b/>
        </w:rPr>
        <w:t xml:space="preserve">Objetivo: </w:t>
      </w:r>
      <w:r>
        <w:t>Definir la visión única del proyecto para evitar cambios de dirección durante el desarrollo.</w:t>
      </w:r>
    </w:p>
    <w:p>
      <w:pPr>
        <w:pStyle w:val="Heading2"/>
      </w:pPr>
      <w:r>
        <w:t>1. Visión</w:t>
      </w:r>
    </w:p>
    <w:p>
      <w:r>
        <w:t>Enterprise AI OS será una plataforma para construir Capacidades IA reutilizables. Las capacidades forman Empleados IA; los empleados forman Departamentos IA; los departamentos conforman una Empresa IA. La plataforma potenciará los sistemas existentes y no buscará reemplazarlos.</w:t>
      </w:r>
    </w:p>
    <w:p>
      <w:pPr>
        <w:pStyle w:val="Heading2"/>
      </w:pPr>
      <w:r>
        <w:t>2. Principios aprobados</w:t>
      </w:r>
    </w:p>
    <w:p>
      <w:pPr>
        <w:pStyle w:val="ListBullet"/>
      </w:pPr>
      <w:r>
        <w:t>Desarrollo local primero con costo inicial cercano a cero.</w:t>
      </w:r>
    </w:p>
    <w:p>
      <w:pPr>
        <w:pStyle w:val="ListBullet"/>
      </w:pPr>
      <w:r>
        <w:t>Arquitectura preparada desde el inicio para migración SaaS.</w:t>
      </w:r>
    </w:p>
    <w:p>
      <w:pPr>
        <w:pStyle w:val="ListBullet"/>
      </w:pPr>
      <w:r>
        <w:t>Todo configurable desde la plataforma.</w:t>
      </w:r>
    </w:p>
    <w:p>
      <w:pPr>
        <w:pStyle w:val="ListBullet"/>
      </w:pPr>
      <w:r>
        <w:t>No reemplazar ERP, HIS, CRM ni software existente; integrarse con ellos.</w:t>
      </w:r>
    </w:p>
    <w:p>
      <w:pPr>
        <w:pStyle w:val="ListBullet"/>
      </w:pPr>
      <w:r>
        <w:t>Desarrollo por capacidades reutilizables.</w:t>
      </w:r>
    </w:p>
    <w:p>
      <w:pPr>
        <w:pStyle w:val="ListBullet"/>
      </w:pPr>
      <w:r>
        <w:t>Entregas completas, no parches.</w:t>
      </w:r>
    </w:p>
    <w:p>
      <w:pPr>
        <w:pStyle w:val="ListBullet"/>
      </w:pPr>
      <w:r>
        <w:t>Diseño UI congelado durante cada versión.</w:t>
      </w:r>
    </w:p>
    <w:p>
      <w:pPr>
        <w:pStyle w:val="ListBullet"/>
      </w:pPr>
      <w:r>
        <w:t>Nuevas ideas se registran para versiones futuras sin alterar el alcance vigente.</w:t>
      </w:r>
    </w:p>
    <w:p>
      <w:pPr>
        <w:pStyle w:val="Heading2"/>
      </w:pPr>
      <w:r>
        <w:t>3. Arquitectura conceptual</w:t>
      </w:r>
    </w:p>
    <w:p>
      <w:r>
        <w:t>Empresa IA</w:t>
        <w:br/>
        <w:t xml:space="preserve">    └── Departamentos IA</w:t>
        <w:br/>
        <w:t xml:space="preserve">            └── Empleados IA</w:t>
        <w:br/>
        <w:t xml:space="preserve">                    └── Capacidades IA</w:t>
        <w:br/>
        <w:t xml:space="preserve">                            └── Núcleo</w:t>
        <w:br/>
        <w:t xml:space="preserve">                                   ├── Configuración</w:t>
        <w:br/>
        <w:t xml:space="preserve">                                   ├── Servicios</w:t>
        <w:br/>
        <w:t xml:space="preserve">                                   ├── Conectores</w:t>
        <w:br/>
        <w:t xml:space="preserve">                                   ├── AI Gateway</w:t>
        <w:br/>
        <w:t xml:space="preserve">                                   └── Motor de Automatización</w:t>
      </w:r>
    </w:p>
    <w:p>
      <w:pPr>
        <w:pStyle w:val="Heading2"/>
      </w:pPr>
      <w:r>
        <w:t>4. Definiciones</w:t>
      </w:r>
    </w:p>
    <w:p>
      <w:pPr>
        <w:pStyle w:val="ListBullet"/>
      </w:pPr>
      <w:r>
        <w:t>Capacidad IA: habilidad reutilizable (OCR, leer PDF, correo, Excel, reglas, APIs, IA, etc.).</w:t>
      </w:r>
    </w:p>
    <w:p>
      <w:pPr>
        <w:pStyle w:val="ListBullet"/>
      </w:pPr>
      <w:r>
        <w:t>Empleado IA: combinación de capacidades para ejecutar un rol.</w:t>
      </w:r>
    </w:p>
    <w:p>
      <w:pPr>
        <w:pStyle w:val="ListBullet"/>
      </w:pPr>
      <w:r>
        <w:t>Departamento IA: conjunto de empleados especializados.</w:t>
      </w:r>
    </w:p>
    <w:p>
      <w:pPr>
        <w:pStyle w:val="ListBullet"/>
      </w:pPr>
      <w:r>
        <w:t>Empresa IA: conjunto de departamentos configurados para una organización.</w:t>
      </w:r>
    </w:p>
    <w:p>
      <w:pPr>
        <w:pStyle w:val="Heading2"/>
      </w:pPr>
      <w:r>
        <w:t>5. Modelo comercial</w:t>
      </w:r>
    </w:p>
    <w:p>
      <w:pPr>
        <w:pStyle w:val="ListBullet"/>
      </w:pPr>
      <w:r>
        <w:t>Producto principal: Enterprise AI OS.</w:t>
      </w:r>
    </w:p>
    <w:p>
      <w:pPr>
        <w:pStyle w:val="ListBullet"/>
      </w:pPr>
      <w:r>
        <w:t>Servicios profesionales para implementación y soporte.</w:t>
      </w:r>
    </w:p>
    <w:p>
      <w:pPr>
        <w:pStyle w:val="ListBullet"/>
      </w:pPr>
      <w:r>
        <w:t>Especializaciones por industria construidas sobre el mismo núcleo.</w:t>
      </w:r>
    </w:p>
    <w:p>
      <w:pPr>
        <w:pStyle w:val="ListBullet"/>
      </w:pPr>
      <w:r>
        <w:t>Marketplace como proyecto independiente en una etapa posterior.</w:t>
      </w:r>
    </w:p>
    <w:p>
      <w:pPr>
        <w:pStyle w:val="Heading2"/>
      </w:pPr>
      <w:r>
        <w:t>6. Tecnología base</w:t>
      </w:r>
    </w:p>
    <w:p>
      <w:pPr>
        <w:pStyle w:val="ListBullet"/>
      </w:pPr>
      <w:r>
        <w:t>Frontend: React + TypeScript.</w:t>
      </w:r>
    </w:p>
    <w:p>
      <w:pPr>
        <w:pStyle w:val="ListBullet"/>
      </w:pPr>
      <w:r>
        <w:t>Backend: FastAPI + Python.</w:t>
      </w:r>
    </w:p>
    <w:p>
      <w:pPr>
        <w:pStyle w:val="ListBullet"/>
      </w:pPr>
      <w:r>
        <w:t>Base de datos: SQLite migrable a PostgreSQL.</w:t>
      </w:r>
    </w:p>
    <w:p>
      <w:pPr>
        <w:pStyle w:val="ListBullet"/>
      </w:pPr>
      <w:r>
        <w:t>AI Gateway desacoplado.</w:t>
      </w:r>
    </w:p>
    <w:p>
      <w:pPr>
        <w:pStyle w:val="ListBullet"/>
      </w:pPr>
      <w:r>
        <w:t>n8n Community como orquestador interno opcional.</w:t>
      </w:r>
    </w:p>
    <w:p>
      <w:pPr>
        <w:pStyle w:val="ListBullet"/>
      </w:pPr>
      <w:r>
        <w:t>PaddleOCR y Docling para documentos.</w:t>
      </w:r>
    </w:p>
    <w:p>
      <w:pPr>
        <w:pStyle w:val="ListBullet"/>
      </w:pPr>
      <w:r>
        <w:t>Modelos IA locales y remotos intercambiables.</w:t>
      </w:r>
    </w:p>
    <w:p>
      <w:pPr>
        <w:pStyle w:val="Heading2"/>
      </w:pPr>
      <w:r>
        <w:t>7. Decisiones cerradas</w:t>
      </w:r>
    </w:p>
    <w:p>
      <w:pPr>
        <w:pStyle w:val="ListBullet"/>
      </w:pPr>
      <w:r>
        <w:t>No se utilizará Codex como ejecutor principal del proyecto.</w:t>
      </w:r>
    </w:p>
    <w:p>
      <w:pPr>
        <w:pStyle w:val="ListBullet"/>
      </w:pPr>
      <w:r>
        <w:t>No se iniciará en la nube; primero versión local estable.</w:t>
      </w:r>
    </w:p>
    <w:p>
      <w:pPr>
        <w:pStyle w:val="ListBullet"/>
      </w:pPr>
      <w:r>
        <w:t>No se rediseñará la arquitectura durante el MVP.</w:t>
      </w:r>
    </w:p>
    <w:p>
      <w:pPr>
        <w:pStyle w:val="ListBullet"/>
      </w:pPr>
      <w:r>
        <w:t>El desarrollo será modular, por capacidades.</w:t>
      </w:r>
    </w:p>
    <w:p>
      <w:pPr>
        <w:pStyle w:val="ListBullet"/>
      </w:pPr>
      <w:r>
        <w:t>Cada entrega incluirá código completo, changelog, pruebas y logs.</w:t>
      </w:r>
    </w:p>
    <w:p>
      <w:pPr>
        <w:pStyle w:val="Heading2"/>
      </w:pPr>
      <w:r>
        <w:t>8. Documentos maestros pendientes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N°</w:t>
            </w:r>
          </w:p>
        </w:tc>
        <w:tc>
          <w:tcPr>
            <w:tcW w:type="dxa" w:w="2880"/>
          </w:tcPr>
          <w:p>
            <w:r>
              <w:t>Documento</w:t>
            </w:r>
          </w:p>
        </w:tc>
        <w:tc>
          <w:tcPr>
            <w:tcW w:type="dxa" w:w="2880"/>
          </w:tcPr>
          <w:p>
            <w:r>
              <w:t>Estado</w:t>
            </w:r>
          </w:p>
        </w:tc>
      </w:tr>
      <w:tr>
        <w:tc>
          <w:tcPr>
            <w:tcW w:type="dxa" w:w="2880"/>
          </w:tcPr>
          <w:p>
            <w:r>
              <w:t>02</w:t>
            </w:r>
          </w:p>
        </w:tc>
        <w:tc>
          <w:tcPr>
            <w:tcW w:type="dxa" w:w="2880"/>
          </w:tcPr>
          <w:p>
            <w:r>
              <w:t>Catálogo Maestro de Capacidades IA</w:t>
            </w:r>
          </w:p>
        </w:tc>
        <w:tc>
          <w:tcPr>
            <w:tcW w:type="dxa" w:w="2880"/>
          </w:tcPr>
          <w:p>
            <w:r>
              <w:t>Pendiente</w:t>
            </w:r>
          </w:p>
        </w:tc>
      </w:tr>
      <w:tr>
        <w:tc>
          <w:tcPr>
            <w:tcW w:type="dxa" w:w="2880"/>
          </w:tcPr>
          <w:p>
            <w:r>
              <w:t>03</w:t>
            </w:r>
          </w:p>
        </w:tc>
        <w:tc>
          <w:tcPr>
            <w:tcW w:type="dxa" w:w="2880"/>
          </w:tcPr>
          <w:p>
            <w:r>
              <w:t>AI Gateway</w:t>
            </w:r>
          </w:p>
        </w:tc>
        <w:tc>
          <w:tcPr>
            <w:tcW w:type="dxa" w:w="2880"/>
          </w:tcPr>
          <w:p>
            <w:r>
              <w:t>Pendiente</w:t>
            </w:r>
          </w:p>
        </w:tc>
      </w:tr>
      <w:tr>
        <w:tc>
          <w:tcPr>
            <w:tcW w:type="dxa" w:w="2880"/>
          </w:tcPr>
          <w:p>
            <w:r>
              <w:t>04</w:t>
            </w:r>
          </w:p>
        </w:tc>
        <w:tc>
          <w:tcPr>
            <w:tcW w:type="dxa" w:w="2880"/>
          </w:tcPr>
          <w:p>
            <w:r>
              <w:t>Administrador Inteligente de Componentes</w:t>
            </w:r>
          </w:p>
        </w:tc>
        <w:tc>
          <w:tcPr>
            <w:tcW w:type="dxa" w:w="2880"/>
          </w:tcPr>
          <w:p>
            <w:r>
              <w:t>Pendiente</w:t>
            </w:r>
          </w:p>
        </w:tc>
      </w:tr>
      <w:tr>
        <w:tc>
          <w:tcPr>
            <w:tcW w:type="dxa" w:w="2880"/>
          </w:tcPr>
          <w:p>
            <w:r>
              <w:t>05</w:t>
            </w:r>
          </w:p>
        </w:tc>
        <w:tc>
          <w:tcPr>
            <w:tcW w:type="dxa" w:w="2880"/>
          </w:tcPr>
          <w:p>
            <w:r>
              <w:t>Modelo Comercial</w:t>
            </w:r>
          </w:p>
        </w:tc>
        <w:tc>
          <w:tcPr>
            <w:tcW w:type="dxa" w:w="2880"/>
          </w:tcPr>
          <w:p>
            <w:r>
              <w:t>Pendiente</w:t>
            </w:r>
          </w:p>
        </w:tc>
      </w:tr>
      <w:tr>
        <w:tc>
          <w:tcPr>
            <w:tcW w:type="dxa" w:w="2880"/>
          </w:tcPr>
          <w:p>
            <w:r>
              <w:t>06</w:t>
            </w:r>
          </w:p>
        </w:tc>
        <w:tc>
          <w:tcPr>
            <w:tcW w:type="dxa" w:w="2880"/>
          </w:tcPr>
          <w:p>
            <w:r>
              <w:t>Especializaciones por Industria</w:t>
            </w:r>
          </w:p>
        </w:tc>
        <w:tc>
          <w:tcPr>
            <w:tcW w:type="dxa" w:w="2880"/>
          </w:tcPr>
          <w:p>
            <w:r>
              <w:t>Pendiente</w:t>
            </w:r>
          </w:p>
        </w:tc>
      </w:tr>
      <w:tr>
        <w:tc>
          <w:tcPr>
            <w:tcW w:type="dxa" w:w="2880"/>
          </w:tcPr>
          <w:p>
            <w:r>
              <w:t>07</w:t>
            </w:r>
          </w:p>
        </w:tc>
        <w:tc>
          <w:tcPr>
            <w:tcW w:type="dxa" w:w="2880"/>
          </w:tcPr>
          <w:p>
            <w:r>
              <w:t>Enterprise Knowledge</w:t>
            </w:r>
          </w:p>
        </w:tc>
        <w:tc>
          <w:tcPr>
            <w:tcW w:type="dxa" w:w="2880"/>
          </w:tcPr>
          <w:p>
            <w:r>
              <w:t>Pendiente</w:t>
            </w:r>
          </w:p>
        </w:tc>
      </w:tr>
      <w:tr>
        <w:tc>
          <w:tcPr>
            <w:tcW w:type="dxa" w:w="2880"/>
          </w:tcPr>
          <w:p>
            <w:r>
              <w:t>08</w:t>
            </w:r>
          </w:p>
        </w:tc>
        <w:tc>
          <w:tcPr>
            <w:tcW w:type="dxa" w:w="2880"/>
          </w:tcPr>
          <w:p>
            <w:r>
              <w:t>Roadmap Estratégico</w:t>
            </w:r>
          </w:p>
        </w:tc>
        <w:tc>
          <w:tcPr>
            <w:tcW w:type="dxa" w:w="2880"/>
          </w:tcPr>
          <w:p>
            <w:r>
              <w:t>Pendiente</w:t>
            </w:r>
          </w:p>
        </w:tc>
      </w:tr>
    </w:tbl>
    <w:p>
      <w:pPr>
        <w:pStyle w:val="Heading2"/>
      </w:pPr>
      <w:r>
        <w:t>9. Cierre</w:t>
      </w:r>
    </w:p>
    <w:p>
      <w:r>
        <w:t>Este documento constituye la base estratégica oficial del proyecto. Las decisiones aquí contenidas se consideran aprobadas para el desarrollo del MVP.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