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06</w:t>
      </w:r>
    </w:p>
    <w:p>
      <w:pPr>
        <w:pStyle w:val="Heading2"/>
      </w:pPr>
      <w:r>
        <w:t>ESPECIALIZACIONES POR INDUSTRIA</w:t>
      </w:r>
    </w:p>
    <w:p>
      <w:r>
        <w:t>Documento definitivo. Define el modelo para construir soluciones verticales reutilizando el núcleo de Enterprise AI OS. Ninguna especialización modifica el núcleo; todas se ensamblan mediante Capacidades IA, Empleados IA y Departamentos IA.</w:t>
      </w:r>
    </w:p>
    <w:p>
      <w:pPr>
        <w:pStyle w:val="Heading2"/>
      </w:pPr>
      <w:r>
        <w:t>1. Objetivo</w:t>
      </w:r>
    </w:p>
    <w:p>
      <w:r>
        <w:t>Permitir crear soluciones para diferentes industrias reutilizando el mismo motor, la misma arquitectura y las mismas capacidades.</w:t>
      </w:r>
    </w:p>
    <w:p>
      <w:pPr>
        <w:pStyle w:val="Heading2"/>
      </w:pPr>
      <w:r>
        <w:t>2. Arquitectura</w:t>
      </w:r>
    </w:p>
    <w:p>
      <w:r>
        <w:t>Enterprise AI OS</w:t>
        <w:br/>
        <w:t xml:space="preserve">        │</w:t>
        <w:br/>
        <w:t xml:space="preserve">        ├── Capacidades IA</w:t>
        <w:br/>
        <w:t xml:space="preserve">        ├── Empleados IA</w:t>
        <w:br/>
        <w:t xml:space="preserve">        ├── Departamentos IA</w:t>
        <w:br/>
        <w:t xml:space="preserve">        └── Especialización</w:t>
      </w:r>
    </w:p>
    <w:p>
      <w:pPr>
        <w:pStyle w:val="Heading2"/>
      </w:pPr>
      <w:r>
        <w:t>3. Componentes de una Especialización</w:t>
      </w:r>
    </w:p>
    <w:p>
      <w:pPr>
        <w:pStyle w:val="ListBullet"/>
      </w:pPr>
      <w:r>
        <w:t>Capacidades reutilizadas.</w:t>
      </w:r>
    </w:p>
    <w:p>
      <w:pPr>
        <w:pStyle w:val="ListBullet"/>
      </w:pPr>
      <w:r>
        <w:t>Capacidades nuevas (si aportan valor general).</w:t>
      </w:r>
    </w:p>
    <w:p>
      <w:pPr>
        <w:pStyle w:val="ListBullet"/>
      </w:pPr>
      <w:r>
        <w:t>Base de conocimiento específica.</w:t>
      </w:r>
    </w:p>
    <w:p>
      <w:pPr>
        <w:pStyle w:val="ListBullet"/>
      </w:pPr>
      <w:r>
        <w:t>Empleados IA especializados.</w:t>
      </w:r>
    </w:p>
    <w:p>
      <w:pPr>
        <w:pStyle w:val="ListBullet"/>
      </w:pPr>
      <w:r>
        <w:t>Departamentos IA.</w:t>
      </w:r>
    </w:p>
    <w:p>
      <w:pPr>
        <w:pStyle w:val="ListBullet"/>
      </w:pPr>
      <w:r>
        <w:t>Configuraciones predeterminadas.</w:t>
      </w:r>
    </w:p>
    <w:p>
      <w:pPr>
        <w:pStyle w:val="ListBullet"/>
      </w:pPr>
      <w:r>
        <w:t>Indicadores y reportes.</w:t>
      </w:r>
    </w:p>
    <w:p>
      <w:pPr>
        <w:pStyle w:val="ListBullet"/>
      </w:pPr>
      <w:r>
        <w:t>Conectores propios.</w:t>
      </w:r>
    </w:p>
    <w:p>
      <w:pPr>
        <w:pStyle w:val="Heading2"/>
      </w:pPr>
      <w:r>
        <w:t>4. Especializaciones iniciales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Salud</w:t>
            </w:r>
          </w:p>
        </w:tc>
        <w:tc>
          <w:tcPr>
            <w:tcW w:type="dxa" w:w="2880"/>
          </w:tcPr>
          <w:p>
            <w:r>
              <w:t>Auditoría, documentación, análisis, contratos, glosas, indicadores.</w:t>
            </w:r>
          </w:p>
        </w:tc>
        <w:tc>
          <w:tcPr>
            <w:tcW w:type="dxa" w:w="2880"/>
          </w:tcPr>
          <w:p>
            <w:r>
              <w:t>Prioridad Alta</w:t>
            </w:r>
          </w:p>
        </w:tc>
      </w:tr>
      <w:tr>
        <w:tc>
          <w:tcPr>
            <w:tcW w:type="dxa" w:w="2880"/>
          </w:tcPr>
          <w:p>
            <w:r>
              <w:t>Contabilidad</w:t>
            </w:r>
          </w:p>
        </w:tc>
        <w:tc>
          <w:tcPr>
            <w:tcW w:type="dxa" w:w="2880"/>
          </w:tcPr>
          <w:p>
            <w:r>
              <w:t>Facturas, conciliaciones, cartera, impuestos, análisis.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Inventarios</w:t>
            </w:r>
          </w:p>
        </w:tc>
        <w:tc>
          <w:tcPr>
            <w:tcW w:type="dxa" w:w="2880"/>
          </w:tcPr>
          <w:p>
            <w:r>
              <w:t>Existencias, conciliaciones, compras, movimientos.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Jurídico</w:t>
            </w:r>
          </w:p>
        </w:tc>
        <w:tc>
          <w:tcPr>
            <w:tcW w:type="dxa" w:w="2880"/>
          </w:tcPr>
          <w:p>
            <w:r>
              <w:t>Contratos, normas, expedientes, vencimientos.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Logística</w:t>
            </w:r>
          </w:p>
        </w:tc>
        <w:tc>
          <w:tcPr>
            <w:tcW w:type="dxa" w:w="2880"/>
          </w:tcPr>
          <w:p>
            <w:r>
              <w:t>Pedidos, remisiones, rutas, entregas.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RRHH</w:t>
            </w:r>
          </w:p>
        </w:tc>
        <w:tc>
          <w:tcPr>
            <w:tcW w:type="dxa" w:w="2880"/>
          </w:tcPr>
          <w:p>
            <w:r>
              <w:t>Hojas de vida, contratos, novedades, desempeño.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Comercial</w:t>
            </w:r>
          </w:p>
        </w:tc>
        <w:tc>
          <w:tcPr>
            <w:tcW w:type="dxa" w:w="2880"/>
          </w:tcPr>
          <w:p>
            <w:r>
              <w:t>CRM, cotizaciones, seguimiento, clientes.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Educación</w:t>
            </w:r>
          </w:p>
        </w:tc>
        <w:tc>
          <w:tcPr>
            <w:tcW w:type="dxa" w:w="2880"/>
          </w:tcPr>
          <w:p>
            <w:r>
              <w:t>Expedientes académicos, matrículas, indicadores.</w:t>
            </w:r>
          </w:p>
        </w:tc>
        <w:tc>
          <w:tcPr>
            <w:tcW w:type="dxa" w:w="2880"/>
          </w:tcPr>
          <w:p>
            <w:r>
              <w:t>Futura</w:t>
            </w:r>
          </w:p>
        </w:tc>
      </w:tr>
      <w:tr>
        <w:tc>
          <w:tcPr>
            <w:tcW w:type="dxa" w:w="2880"/>
          </w:tcPr>
          <w:p>
            <w:r>
              <w:t>Gobierno</w:t>
            </w:r>
          </w:p>
        </w:tc>
        <w:tc>
          <w:tcPr>
            <w:tcW w:type="dxa" w:w="2880"/>
          </w:tcPr>
          <w:p>
            <w:r>
              <w:t>Correspondencia, PQRS, expedientes.</w:t>
            </w:r>
          </w:p>
        </w:tc>
        <w:tc>
          <w:tcPr>
            <w:tcW w:type="dxa" w:w="2880"/>
          </w:tcPr>
          <w:p>
            <w:r>
              <w:t>Futura</w:t>
            </w:r>
          </w:p>
        </w:tc>
      </w:tr>
      <w:tr>
        <w:tc>
          <w:tcPr>
            <w:tcW w:type="dxa" w:w="2880"/>
          </w:tcPr>
          <w:p>
            <w:r>
              <w:t>Construcción</w:t>
            </w:r>
          </w:p>
        </w:tc>
        <w:tc>
          <w:tcPr>
            <w:tcW w:type="dxa" w:w="2880"/>
          </w:tcPr>
          <w:p>
            <w:r>
              <w:t>Contratos, obras, interventoría.</w:t>
            </w:r>
          </w:p>
        </w:tc>
        <w:tc>
          <w:tcPr>
            <w:tcW w:type="dxa" w:w="2880"/>
          </w:tcPr>
          <w:p>
            <w:r>
              <w:t>Futura</w:t>
            </w:r>
          </w:p>
        </w:tc>
      </w:tr>
    </w:tbl>
    <w:p>
      <w:pPr>
        <w:pStyle w:val="Heading2"/>
      </w:pPr>
      <w:r>
        <w:t>5. Reglas</w:t>
      </w:r>
    </w:p>
    <w:p>
      <w:pPr>
        <w:pStyle w:val="ListBullet"/>
      </w:pPr>
      <w:r>
        <w:t>Las especializaciones nunca duplican capacidades existentes.</w:t>
      </w:r>
    </w:p>
    <w:p>
      <w:pPr>
        <w:pStyle w:val="ListBullet"/>
      </w:pPr>
      <w:r>
        <w:t>Todo conocimiento específico se incorpora como base de conocimiento o nuevas capacidades reutilizables.</w:t>
      </w:r>
    </w:p>
    <w:p>
      <w:pPr>
        <w:pStyle w:val="ListBullet"/>
      </w:pPr>
      <w:r>
        <w:t>El núcleo permanece independiente del sector.</w:t>
      </w:r>
    </w:p>
    <w:p>
      <w:pPr>
        <w:pStyle w:val="ListBullet"/>
      </w:pPr>
      <w:r>
        <w:t>Una organización puede instalar varias especializaciones simultáneamente.</w:t>
      </w:r>
    </w:p>
    <w:p>
      <w:pPr>
        <w:pStyle w:val="Heading2"/>
      </w:pPr>
      <w:r>
        <w:t>6. Estrategia</w:t>
      </w:r>
    </w:p>
    <w:p>
      <w:r>
        <w:t>Cada especialización será un paquete instalable y configurable. La venta se realizará mediante licencias adicionales sobre Enterprise AI OS, evitando crear productos independientes.</w:t>
      </w:r>
    </w:p>
    <w:p>
      <w:pPr>
        <w:pStyle w:val="Heading2"/>
      </w:pPr>
      <w:r>
        <w:t>7. Estado</w:t>
      </w:r>
    </w:p>
    <w:p>
      <w:r>
        <w:t>Este documento establece el modelo oficial para el crecimiento vertical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