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C</w:t>
      </w:r>
    </w:p>
    <w:p>
      <w:pPr>
        <w:pStyle w:val="Heading2"/>
      </w:pPr>
      <w:r>
        <w:t>ENTERPRISE AI OS UI / UX STANDARDS</w:t>
      </w:r>
    </w:p>
    <w:p>
      <w:r>
        <w:t>Manual definitivo de diseño visual, experiencia de usuario y estándares de interfaz.</w:t>
      </w:r>
    </w:p>
    <w:p>
      <w:pPr>
        <w:pStyle w:val="Heading2"/>
      </w:pPr>
      <w:r>
        <w:t>1. Filosofía</w:t>
      </w:r>
    </w:p>
    <w:p>
      <w:pPr>
        <w:pStyle w:val="ListBullet"/>
      </w:pPr>
      <w:r>
        <w:t>Interfaz empresarial compacta.</w:t>
      </w:r>
    </w:p>
    <w:p>
      <w:pPr>
        <w:pStyle w:val="ListBullet"/>
      </w:pPr>
      <w:r>
        <w:t>Máxima información con mínimo desplazamiento.</w:t>
      </w:r>
    </w:p>
    <w:p>
      <w:pPr>
        <w:pStyle w:val="ListBullet"/>
      </w:pPr>
      <w:r>
        <w:t>Consistencia en todas las pantallas.</w:t>
      </w:r>
    </w:p>
    <w:p>
      <w:pPr>
        <w:pStyle w:val="ListBullet"/>
      </w:pPr>
      <w:r>
        <w:t>Prioridad a productividad sobre efectos visuales.</w:t>
      </w:r>
    </w:p>
    <w:p>
      <w:pPr>
        <w:pStyle w:val="Heading2"/>
      </w:pPr>
      <w:r>
        <w:t>2. Layout</w:t>
      </w:r>
    </w:p>
    <w:p>
      <w:pPr>
        <w:pStyle w:val="ListBullet"/>
      </w:pPr>
      <w:r>
        <w:t>Menú lateral contraíble.</w:t>
      </w:r>
    </w:p>
    <w:p>
      <w:pPr>
        <w:pStyle w:val="ListBullet"/>
      </w:pPr>
      <w:r>
        <w:t>Barra superior fija.</w:t>
      </w:r>
    </w:p>
    <w:p>
      <w:pPr>
        <w:pStyle w:val="ListBullet"/>
      </w:pPr>
      <w:r>
        <w:t>Área central de trabajo.</w:t>
      </w:r>
    </w:p>
    <w:p>
      <w:pPr>
        <w:pStyle w:val="ListBullet"/>
      </w:pPr>
      <w:r>
        <w:t>Paneles acoplables.</w:t>
      </w:r>
    </w:p>
    <w:p>
      <w:pPr>
        <w:pStyle w:val="ListBullet"/>
      </w:pPr>
      <w:r>
        <w:t>Pestañas para procesos relacionados.</w:t>
      </w:r>
    </w:p>
    <w:p>
      <w:pPr>
        <w:pStyle w:val="Heading2"/>
      </w:pPr>
      <w:r>
        <w:t>3. Componentes</w:t>
      </w:r>
    </w:p>
    <w:p>
      <w:pPr>
        <w:pStyle w:val="ListBullet"/>
      </w:pPr>
      <w:r>
        <w:t>DataGrid como componente principal.</w:t>
      </w:r>
    </w:p>
    <w:p>
      <w:pPr>
        <w:pStyle w:val="ListBullet"/>
      </w:pPr>
      <w:r>
        <w:t>Filtros rápidos.</w:t>
      </w:r>
    </w:p>
    <w:p>
      <w:pPr>
        <w:pStyle w:val="ListBullet"/>
      </w:pPr>
      <w:r>
        <w:t>Búsqueda integrada.</w:t>
      </w:r>
    </w:p>
    <w:p>
      <w:pPr>
        <w:pStyle w:val="ListBullet"/>
      </w:pPr>
      <w:r>
        <w:t>Mostrar/Ocultar columnas.</w:t>
      </w:r>
    </w:p>
    <w:p>
      <w:pPr>
        <w:pStyle w:val="ListBullet"/>
      </w:pPr>
      <w:r>
        <w:t>Exportar Excel, PDF y CSV.</w:t>
      </w:r>
    </w:p>
    <w:p>
      <w:pPr>
        <w:pStyle w:val="ListBullet"/>
      </w:pPr>
      <w:r>
        <w:t>Acciones mediante iconos consistentes.</w:t>
      </w:r>
    </w:p>
    <w:p>
      <w:pPr>
        <w:pStyle w:val="Heading2"/>
      </w:pPr>
      <w:r>
        <w:t>4. Formularios</w:t>
      </w:r>
    </w:p>
    <w:p>
      <w:pPr>
        <w:pStyle w:val="ListBullet"/>
      </w:pPr>
      <w:r>
        <w:t>Edición en ventanas modales cuando sea conveniente.</w:t>
      </w:r>
    </w:p>
    <w:p>
      <w:pPr>
        <w:pStyle w:val="ListBullet"/>
      </w:pPr>
      <w:r>
        <w:t>Validación en tiempo real.</w:t>
      </w:r>
    </w:p>
    <w:p>
      <w:pPr>
        <w:pStyle w:val="ListBullet"/>
      </w:pPr>
      <w:r>
        <w:t>Autoguardado configurable.</w:t>
      </w:r>
    </w:p>
    <w:p>
      <w:pPr>
        <w:pStyle w:val="ListBullet"/>
      </w:pPr>
      <w:r>
        <w:t>Mensajes claros y no intrusivos.</w:t>
      </w:r>
    </w:p>
    <w:p>
      <w:pPr>
        <w:pStyle w:val="Heading2"/>
      </w:pPr>
      <w:r>
        <w:t>5. Colores</w:t>
      </w:r>
    </w:p>
    <w:p>
      <w:pPr>
        <w:pStyle w:val="ListBullet"/>
      </w:pPr>
      <w:r>
        <w:t>Paleta corporativa centralizada.</w:t>
      </w:r>
    </w:p>
    <w:p>
      <w:pPr>
        <w:pStyle w:val="ListBullet"/>
      </w:pPr>
      <w:r>
        <w:t>Semáforos normalizados.</w:t>
      </w:r>
    </w:p>
    <w:p>
      <w:pPr>
        <w:pStyle w:val="ListBullet"/>
      </w:pPr>
      <w:r>
        <w:t>Modo claro y oscuro.</w:t>
      </w:r>
    </w:p>
    <w:p>
      <w:pPr>
        <w:pStyle w:val="ListBullet"/>
      </w:pPr>
      <w:r>
        <w:t>Colores definidos mediante variables globales.</w:t>
      </w:r>
    </w:p>
    <w:p>
      <w:pPr>
        <w:pStyle w:val="Heading2"/>
      </w:pPr>
      <w:r>
        <w:t>6. Iconografía</w:t>
      </w:r>
    </w:p>
    <w:p>
      <w:pPr>
        <w:pStyle w:val="ListBullet"/>
      </w:pPr>
      <w:r>
        <w:t>Biblioteca única.</w:t>
      </w:r>
    </w:p>
    <w:p>
      <w:pPr>
        <w:pStyle w:val="ListBullet"/>
      </w:pPr>
      <w:r>
        <w:t>Un mismo icono siempre representa la misma acción.</w:t>
      </w:r>
    </w:p>
    <w:p>
      <w:pPr>
        <w:pStyle w:val="ListBullet"/>
      </w:pPr>
      <w:r>
        <w:t>Tooltips obligatorios.</w:t>
      </w:r>
    </w:p>
    <w:p>
      <w:pPr>
        <w:pStyle w:val="Heading2"/>
      </w:pPr>
      <w:r>
        <w:t>7. Responsive</w:t>
      </w:r>
    </w:p>
    <w:p>
      <w:pPr>
        <w:pStyle w:val="ListBullet"/>
      </w:pPr>
      <w:r>
        <w:t>Desktop como prioridad.</w:t>
      </w:r>
    </w:p>
    <w:p>
      <w:pPr>
        <w:pStyle w:val="ListBullet"/>
      </w:pPr>
      <w:r>
        <w:t>Adaptación a portátil.</w:t>
      </w:r>
    </w:p>
    <w:p>
      <w:pPr>
        <w:pStyle w:val="ListBullet"/>
      </w:pPr>
      <w:r>
        <w:t>Soporte para tablet.</w:t>
      </w:r>
    </w:p>
    <w:p>
      <w:pPr>
        <w:pStyle w:val="ListBullet"/>
      </w:pPr>
      <w:r>
        <w:t>Modo móvil para operaciones esenciales.</w:t>
      </w:r>
    </w:p>
    <w:p>
      <w:pPr>
        <w:pStyle w:val="Heading2"/>
      </w:pPr>
      <w:r>
        <w:t>8. Accesibilidad</w:t>
      </w:r>
    </w:p>
    <w:p>
      <w:pPr>
        <w:pStyle w:val="ListBullet"/>
      </w:pPr>
      <w:r>
        <w:t>Navegación por teclado.</w:t>
      </w:r>
    </w:p>
    <w:p>
      <w:pPr>
        <w:pStyle w:val="ListBullet"/>
      </w:pPr>
      <w:r>
        <w:t>Contraste adecuado.</w:t>
      </w:r>
    </w:p>
    <w:p>
      <w:pPr>
        <w:pStyle w:val="ListBullet"/>
      </w:pPr>
      <w:r>
        <w:t>Escalado de fuentes.</w:t>
      </w:r>
    </w:p>
    <w:p>
      <w:pPr>
        <w:pStyle w:val="ListBullet"/>
      </w:pPr>
      <w:r>
        <w:t>Atajos configurables.</w:t>
      </w:r>
    </w:p>
    <w:p>
      <w:pPr>
        <w:pStyle w:val="Heading2"/>
      </w:pPr>
      <w:r>
        <w:t>9. Reglas Permanentes</w:t>
      </w:r>
    </w:p>
    <w:p>
      <w:pPr>
        <w:pStyle w:val="ListBullet"/>
      </w:pPr>
      <w:r>
        <w:t>No rediseñar pantallas sin actualizar este libro.</w:t>
      </w:r>
    </w:p>
    <w:p>
      <w:pPr>
        <w:pStyle w:val="ListBullet"/>
      </w:pPr>
      <w:r>
        <w:t>No crear componentes duplicados.</w:t>
      </w:r>
    </w:p>
    <w:p>
      <w:pPr>
        <w:pStyle w:val="ListBullet"/>
      </w:pPr>
      <w:r>
        <w:t>Todo componente será reutilizable.</w:t>
      </w:r>
    </w:p>
    <w:p>
      <w:pPr>
        <w:pStyle w:val="ListBullet"/>
      </w:pPr>
      <w:r>
        <w:t>Cada vista seguirá la misma estructura visual.</w:t>
      </w:r>
    </w:p>
    <w:p>
      <w:pPr>
        <w:pStyle w:val="Heading2"/>
      </w:pPr>
      <w:r>
        <w:t>10. Estado</w:t>
      </w:r>
    </w:p>
    <w:p>
      <w:r>
        <w:t>Este libro define el estándar visual permanente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