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MAESTRO D</w:t>
      </w:r>
    </w:p>
    <w:p>
      <w:pPr>
        <w:pStyle w:val="Heading2"/>
      </w:pPr>
      <w:r>
        <w:t>ENTERPRISE AI OS DATA PLATFORM &amp; INFORMATION MODEL</w:t>
      </w:r>
    </w:p>
    <w:p>
      <w:r>
        <w:t>Documento definitivo que establece la arquitectura de datos, gobierno de la información y estándares de persistencia de Enterprise AI OS.</w:t>
      </w:r>
    </w:p>
    <w:p>
      <w:pPr>
        <w:pStyle w:val="Heading2"/>
      </w:pPr>
      <w:r>
        <w:t>1. Objetivo</w:t>
      </w:r>
    </w:p>
    <w:p>
      <w:r>
        <w:t>Definir un modelo único de datos para todas las organizaciones, capacidades, empleados IA y especializaciones.</w:t>
      </w:r>
    </w:p>
    <w:p>
      <w:pPr>
        <w:pStyle w:val="Heading2"/>
      </w:pPr>
      <w:r>
        <w:t>2. Principios</w:t>
      </w:r>
    </w:p>
    <w:p>
      <w:pPr>
        <w:pStyle w:val="ListBullet"/>
      </w:pPr>
      <w:r>
        <w:t>Una sola fuente de verdad.</w:t>
      </w:r>
    </w:p>
    <w:p>
      <w:pPr>
        <w:pStyle w:val="ListBullet"/>
      </w:pPr>
      <w:r>
        <w:t>Modelo extensible.</w:t>
      </w:r>
    </w:p>
    <w:p>
      <w:pPr>
        <w:pStyle w:val="ListBullet"/>
      </w:pPr>
      <w:r>
        <w:t>Separación entre núcleo y especializaciones.</w:t>
      </w:r>
    </w:p>
    <w:p>
      <w:pPr>
        <w:pStyle w:val="ListBullet"/>
      </w:pPr>
      <w:r>
        <w:t>Auditoría en todas las entidades.</w:t>
      </w:r>
    </w:p>
    <w:p>
      <w:pPr>
        <w:pStyle w:val="ListBullet"/>
      </w:pPr>
      <w:r>
        <w:t>Compatibilidad entre versiones.</w:t>
      </w:r>
    </w:p>
    <w:p>
      <w:pPr>
        <w:pStyle w:val="Heading2"/>
      </w:pPr>
      <w:r>
        <w:t>3. Entidades Maestras</w:t>
      </w:r>
    </w:p>
    <w:p>
      <w:pPr>
        <w:pStyle w:val="ListBullet"/>
      </w:pPr>
      <w:r>
        <w:t>Organizaciones</w:t>
      </w:r>
    </w:p>
    <w:p>
      <w:pPr>
        <w:pStyle w:val="ListBullet"/>
      </w:pPr>
      <w:r>
        <w:t>Usuarios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Permisos</w:t>
      </w:r>
    </w:p>
    <w:p>
      <w:pPr>
        <w:pStyle w:val="ListBullet"/>
      </w:pPr>
      <w:r>
        <w:t>Capacidades IA</w:t>
      </w:r>
    </w:p>
    <w:p>
      <w:pPr>
        <w:pStyle w:val="ListBullet"/>
      </w:pPr>
      <w:r>
        <w:t>Empleados IA</w:t>
      </w:r>
    </w:p>
    <w:p>
      <w:pPr>
        <w:pStyle w:val="ListBullet"/>
      </w:pPr>
      <w:r>
        <w:t>Departamentos IA</w:t>
      </w:r>
    </w:p>
    <w:p>
      <w:pPr>
        <w:pStyle w:val="ListBullet"/>
      </w:pPr>
      <w:r>
        <w:t>Especializaciones</w:t>
      </w:r>
    </w:p>
    <w:p>
      <w:pPr>
        <w:pStyle w:val="ListBullet"/>
      </w:pPr>
      <w:r>
        <w:t>Conectores</w:t>
      </w:r>
    </w:p>
    <w:p>
      <w:pPr>
        <w:pStyle w:val="ListBullet"/>
      </w:pPr>
      <w:r>
        <w:t>Automatizaciones</w:t>
      </w:r>
    </w:p>
    <w:p>
      <w:pPr>
        <w:pStyle w:val="ListBullet"/>
      </w:pPr>
      <w:r>
        <w:t>Conocimiento</w:t>
      </w:r>
    </w:p>
    <w:p>
      <w:pPr>
        <w:pStyle w:val="ListBullet"/>
      </w:pPr>
      <w:r>
        <w:t>Licencias</w:t>
      </w:r>
    </w:p>
    <w:p>
      <w:pPr>
        <w:pStyle w:val="ListBullet"/>
      </w:pPr>
      <w:r>
        <w:t>Configuraciones</w:t>
      </w:r>
    </w:p>
    <w:p>
      <w:pPr>
        <w:pStyle w:val="ListBullet"/>
      </w:pPr>
      <w:r>
        <w:t>Eventos</w:t>
      </w:r>
    </w:p>
    <w:p>
      <w:pPr>
        <w:pStyle w:val="ListBullet"/>
      </w:pPr>
      <w:r>
        <w:t>Logs</w:t>
      </w:r>
    </w:p>
    <w:p>
      <w:pPr>
        <w:pStyle w:val="Heading2"/>
      </w:pPr>
      <w:r>
        <w:t>4. Gobierno del Dato</w:t>
      </w:r>
    </w:p>
    <w:p>
      <w:pPr>
        <w:pStyle w:val="ListBullet"/>
      </w:pPr>
      <w:r>
        <w:t>Versionado de esquemas.</w:t>
      </w:r>
    </w:p>
    <w:p>
      <w:pPr>
        <w:pStyle w:val="ListBullet"/>
      </w:pPr>
      <w:r>
        <w:t>Migraciones controladas.</w:t>
      </w:r>
    </w:p>
    <w:p>
      <w:pPr>
        <w:pStyle w:val="ListBullet"/>
      </w:pPr>
      <w:r>
        <w:t>Integridad referencial.</w:t>
      </w:r>
    </w:p>
    <w:p>
      <w:pPr>
        <w:pStyle w:val="ListBullet"/>
      </w:pPr>
      <w:r>
        <w:t>Catálogo de datos.</w:t>
      </w:r>
    </w:p>
    <w:p>
      <w:pPr>
        <w:pStyle w:val="ListBullet"/>
      </w:pPr>
      <w:r>
        <w:t>Trazabilidad completa.</w:t>
      </w:r>
    </w:p>
    <w:p>
      <w:pPr>
        <w:pStyle w:val="Heading2"/>
      </w:pPr>
      <w:r>
        <w:t>5. Persistencia</w:t>
      </w:r>
    </w:p>
    <w:p>
      <w:pPr>
        <w:pStyle w:val="ListBullet"/>
      </w:pPr>
      <w:r>
        <w:t>SQLite para desarrollo local.</w:t>
      </w:r>
    </w:p>
    <w:p>
      <w:pPr>
        <w:pStyle w:val="ListBullet"/>
      </w:pPr>
      <w:r>
        <w:t>PostgreSQL para producción.</w:t>
      </w:r>
    </w:p>
    <w:p>
      <w:pPr>
        <w:pStyle w:val="ListBullet"/>
      </w:pPr>
      <w:r>
        <w:t>Almacenamiento documental desacoplado.</w:t>
      </w:r>
    </w:p>
    <w:p>
      <w:pPr>
        <w:pStyle w:val="ListBullet"/>
      </w:pPr>
      <w:r>
        <w:t>Índices optimizados.</w:t>
      </w:r>
    </w:p>
    <w:p>
      <w:pPr>
        <w:pStyle w:val="ListBullet"/>
      </w:pPr>
      <w:r>
        <w:t>Backups automáticos.</w:t>
      </w:r>
    </w:p>
    <w:p>
      <w:pPr>
        <w:pStyle w:val="Heading2"/>
      </w:pPr>
      <w:r>
        <w:t>6. Reglas</w:t>
      </w:r>
    </w:p>
    <w:p>
      <w:pPr>
        <w:pStyle w:val="ListBullet"/>
      </w:pPr>
      <w:r>
        <w:t>No duplicar información.</w:t>
      </w:r>
    </w:p>
    <w:p>
      <w:pPr>
        <w:pStyle w:val="ListBullet"/>
      </w:pPr>
      <w:r>
        <w:t>Todas las tablas con auditoría.</w:t>
      </w:r>
    </w:p>
    <w:p>
      <w:pPr>
        <w:pStyle w:val="ListBullet"/>
      </w:pPr>
      <w:r>
        <w:t>Claves UUID.</w:t>
      </w:r>
    </w:p>
    <w:p>
      <w:pPr>
        <w:pStyle w:val="ListBullet"/>
      </w:pPr>
      <w:r>
        <w:t>Soft delete configurable.</w:t>
      </w:r>
    </w:p>
    <w:p>
      <w:pPr>
        <w:pStyle w:val="ListBullet"/>
      </w:pPr>
      <w:r>
        <w:t>Histórico cuando aplique.</w:t>
      </w:r>
    </w:p>
    <w:p>
      <w:pPr>
        <w:pStyle w:val="Heading2"/>
      </w:pPr>
      <w:r>
        <w:t>7. Calidad</w:t>
      </w:r>
    </w:p>
    <w:p>
      <w:pPr>
        <w:pStyle w:val="ListBullet"/>
      </w:pPr>
      <w:r>
        <w:t>Validaciones de integridad.</w:t>
      </w:r>
    </w:p>
    <w:p>
      <w:pPr>
        <w:pStyle w:val="ListBullet"/>
      </w:pPr>
      <w:r>
        <w:t>Monitoreo.</w:t>
      </w:r>
    </w:p>
    <w:p>
      <w:pPr>
        <w:pStyle w:val="ListBullet"/>
      </w:pPr>
      <w:r>
        <w:t>Optimización periódica.</w:t>
      </w:r>
    </w:p>
    <w:p>
      <w:pPr>
        <w:pStyle w:val="ListBullet"/>
      </w:pPr>
      <w:r>
        <w:t>Pruebas de migración.</w:t>
      </w:r>
    </w:p>
    <w:p>
      <w:pPr>
        <w:pStyle w:val="Heading2"/>
      </w:pPr>
      <w:r>
        <w:t>8. Estado</w:t>
      </w:r>
    </w:p>
    <w:p>
      <w:r>
        <w:t>Este libro define el estándar permanente de gestión de datos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