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G</w:t>
      </w:r>
    </w:p>
    <w:p>
      <w:pPr>
        <w:pStyle w:val="Heading2"/>
      </w:pPr>
      <w:r>
        <w:t>ENTERPRISE AI OS OBSERVABILITY, QUALITY &amp; SUPPORT</w:t>
      </w:r>
    </w:p>
    <w:p>
      <w:r>
        <w:t>Documento definitivo que establece el modelo integral de observabilidad, soporte, aseguramiento de calidad y mejora continua de Enterprise AI OS.</w:t>
      </w:r>
    </w:p>
    <w:p>
      <w:pPr>
        <w:pStyle w:val="Heading2"/>
      </w:pPr>
      <w:r>
        <w:t>1. Objetivo</w:t>
      </w:r>
    </w:p>
    <w:p>
      <w:r>
        <w:t>Garantizar que toda operación del sistema pueda supervisarse, medirse, diagnosticarse y mantenerse con trazabilidad completa.</w:t>
      </w:r>
    </w:p>
    <w:p>
      <w:pPr>
        <w:pStyle w:val="Heading2"/>
      </w:pPr>
      <w:r>
        <w:t>2. Observabilidad</w:t>
      </w:r>
    </w:p>
    <w:p>
      <w:pPr>
        <w:pStyle w:val="ListBullet"/>
      </w:pPr>
      <w:r>
        <w:t>Monitoreo en tiempo real.</w:t>
      </w:r>
    </w:p>
    <w:p>
      <w:pPr>
        <w:pStyle w:val="ListBullet"/>
      </w:pPr>
      <w:r>
        <w:t>Estado de servicios.</w:t>
      </w:r>
    </w:p>
    <w:p>
      <w:pPr>
        <w:pStyle w:val="ListBullet"/>
      </w:pPr>
      <w:r>
        <w:t>Estado de capacidades.</w:t>
      </w:r>
    </w:p>
    <w:p>
      <w:pPr>
        <w:pStyle w:val="ListBullet"/>
      </w:pPr>
      <w:r>
        <w:t>Estado de conectores.</w:t>
      </w:r>
    </w:p>
    <w:p>
      <w:pPr>
        <w:pStyle w:val="ListBullet"/>
      </w:pPr>
      <w:r>
        <w:t>Estado de IA.</w:t>
      </w:r>
    </w:p>
    <w:p>
      <w:pPr>
        <w:pStyle w:val="ListBullet"/>
      </w:pPr>
      <w:r>
        <w:t>Estado de automatizaciones.</w:t>
      </w:r>
    </w:p>
    <w:p>
      <w:pPr>
        <w:pStyle w:val="Heading2"/>
      </w:pPr>
      <w:r>
        <w:t>3. Calidad</w:t>
      </w:r>
    </w:p>
    <w:p>
      <w:pPr>
        <w:pStyle w:val="ListBullet"/>
      </w:pPr>
      <w:r>
        <w:t>Pruebas unitarias.</w:t>
      </w:r>
    </w:p>
    <w:p>
      <w:pPr>
        <w:pStyle w:val="ListBullet"/>
      </w:pPr>
      <w:r>
        <w:t>Pruebas funcionales.</w:t>
      </w:r>
    </w:p>
    <w:p>
      <w:pPr>
        <w:pStyle w:val="ListBullet"/>
      </w:pPr>
      <w:r>
        <w:t>Pruebas de integración.</w:t>
      </w:r>
    </w:p>
    <w:p>
      <w:pPr>
        <w:pStyle w:val="ListBullet"/>
      </w:pPr>
      <w:r>
        <w:t>Pruebas de rendimiento.</w:t>
      </w:r>
    </w:p>
    <w:p>
      <w:pPr>
        <w:pStyle w:val="ListBullet"/>
      </w:pPr>
      <w:r>
        <w:t>Pruebas de regresión.</w:t>
      </w:r>
    </w:p>
    <w:p>
      <w:pPr>
        <w:pStyle w:val="ListBullet"/>
      </w:pPr>
      <w:r>
        <w:t>Validación previa a cada liberación.</w:t>
      </w:r>
    </w:p>
    <w:p>
      <w:pPr>
        <w:pStyle w:val="Heading2"/>
      </w:pPr>
      <w:r>
        <w:t>4. Soporte</w:t>
      </w:r>
    </w:p>
    <w:p>
      <w:pPr>
        <w:pStyle w:val="ListBullet"/>
      </w:pPr>
      <w:r>
        <w:t>Diagnóstico automático.</w:t>
      </w:r>
    </w:p>
    <w:p>
      <w:pPr>
        <w:pStyle w:val="ListBullet"/>
      </w:pPr>
      <w:r>
        <w:t>Registro de incidentes.</w:t>
      </w:r>
    </w:p>
    <w:p>
      <w:pPr>
        <w:pStyle w:val="ListBullet"/>
      </w:pPr>
      <w:r>
        <w:t>Priorización.</w:t>
      </w:r>
    </w:p>
    <w:p>
      <w:pPr>
        <w:pStyle w:val="ListBullet"/>
      </w:pPr>
      <w:r>
        <w:t>Base de conocimiento.</w:t>
      </w:r>
    </w:p>
    <w:p>
      <w:pPr>
        <w:pStyle w:val="ListBullet"/>
      </w:pPr>
      <w:r>
        <w:t>Resolución guiada.</w:t>
      </w:r>
    </w:p>
    <w:p>
      <w:pPr>
        <w:pStyle w:val="ListBullet"/>
      </w:pPr>
      <w:r>
        <w:t>Escalamiento.</w:t>
      </w:r>
    </w:p>
    <w:p>
      <w:pPr>
        <w:pStyle w:val="Heading2"/>
      </w:pPr>
      <w:r>
        <w:t>5. Indicadores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Tiempo medio entre fallos.</w:t>
      </w:r>
    </w:p>
    <w:p>
      <w:pPr>
        <w:pStyle w:val="ListBullet"/>
      </w:pPr>
      <w:r>
        <w:t>Tiempo medio de recuperación.</w:t>
      </w:r>
    </w:p>
    <w:p>
      <w:pPr>
        <w:pStyle w:val="ListBullet"/>
      </w:pPr>
      <w:r>
        <w:t>Cobertura de pruebas.</w:t>
      </w:r>
    </w:p>
    <w:p>
      <w:pPr>
        <w:pStyle w:val="ListBullet"/>
      </w:pPr>
      <w:r>
        <w:t>Errores por versión.</w:t>
      </w:r>
    </w:p>
    <w:p>
      <w:pPr>
        <w:pStyle w:val="ListBullet"/>
      </w:pPr>
      <w:r>
        <w:t>Satisfacción del cliente.</w:t>
      </w:r>
    </w:p>
    <w:p>
      <w:pPr>
        <w:pStyle w:val="Heading2"/>
      </w:pPr>
      <w:r>
        <w:t>6. Mejora Continua</w:t>
      </w:r>
    </w:p>
    <w:p>
      <w:pPr>
        <w:pStyle w:val="ListBullet"/>
      </w:pPr>
      <w:r>
        <w:t>Revisión periódica de métricas.</w:t>
      </w:r>
    </w:p>
    <w:p>
      <w:pPr>
        <w:pStyle w:val="ListBullet"/>
      </w:pPr>
      <w:r>
        <w:t>Optimización de capacidades.</w:t>
      </w:r>
    </w:p>
    <w:p>
      <w:pPr>
        <w:pStyle w:val="ListBullet"/>
      </w:pPr>
      <w:r>
        <w:t>Depuración de deuda técnica.</w:t>
      </w:r>
    </w:p>
    <w:p>
      <w:pPr>
        <w:pStyle w:val="ListBullet"/>
      </w:pPr>
      <w:r>
        <w:t>Retroalimentación de clientes.</w:t>
      </w:r>
    </w:p>
    <w:p>
      <w:pPr>
        <w:pStyle w:val="ListBullet"/>
      </w:pPr>
      <w:r>
        <w:t>Actualización controlada del roadmap.</w:t>
      </w:r>
    </w:p>
    <w:p>
      <w:pPr>
        <w:pStyle w:val="Heading2"/>
      </w:pPr>
      <w:r>
        <w:t>7. Estado</w:t>
      </w:r>
    </w:p>
    <w:p>
      <w:r>
        <w:t>Este libro establece el estándar permanente de calidad, observabilidad y soporte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