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10A52" w14:textId="77777777" w:rsidR="0003532D" w:rsidRDefault="009F1188">
      <w:pPr>
        <w:rPr>
          <w:b/>
        </w:rPr>
      </w:pPr>
      <w:r>
        <w:rPr>
          <w:b/>
        </w:rPr>
        <w:t>Introduction</w:t>
      </w:r>
    </w:p>
    <w:p w14:paraId="7507CA46" w14:textId="246CD954" w:rsidR="00833DAE" w:rsidRPr="00BB75E0" w:rsidRDefault="00C438EE">
      <w:r>
        <w:t>Most of what we know today about the evolution of antibiotic-resistance is focused on the selections of lethal drug concentrations that allow the detection of rare mutants with strong phenotypes (4). However, this is just the tip of the iceberg when it comes to the evolution of antibiotic-resistance genes. In fact, high-resolution competition assays show that selection of resistant bacteria occurs at extremely low antibiotic concentrations (3</w:t>
      </w:r>
      <w:r w:rsidR="00BA77A6">
        <w:t>). In natural and clinical settings bacterial pathogens are exposed to a wide range of antibiotic concentrations, often associated with non-</w:t>
      </w:r>
      <w:r w:rsidR="00060F9E">
        <w:t>medical use of antibiotics (4). I</w:t>
      </w:r>
      <w:r w:rsidR="00BA77A6">
        <w:t xml:space="preserve">t is very important that we begin to focus on a variety of concentrations of antibiotics rather than just the lethal </w:t>
      </w:r>
      <w:r w:rsidR="00BB75E0">
        <w:t xml:space="preserve">concentrations that </w:t>
      </w:r>
      <w:r w:rsidR="0007656C">
        <w:t xml:space="preserve">we </w:t>
      </w:r>
      <w:r w:rsidR="00BB75E0">
        <w:t xml:space="preserve">thought had the biggest impact on the evolution of resistance genes. Here we will show that there are many evolutionary pathways within the resistance gene </w:t>
      </w:r>
      <w:r w:rsidR="00BB75E0">
        <w:rPr>
          <w:i/>
        </w:rPr>
        <w:t>bla</w:t>
      </w:r>
      <w:r w:rsidR="00BB75E0">
        <w:rPr>
          <w:i/>
          <w:vertAlign w:val="subscript"/>
        </w:rPr>
        <w:t>TEM-50</w:t>
      </w:r>
      <w:r w:rsidR="00BB75E0">
        <w:rPr>
          <w:i/>
        </w:rPr>
        <w:t xml:space="preserve"> </w:t>
      </w:r>
      <w:r w:rsidR="00BB75E0">
        <w:t>depending on the concentr</w:t>
      </w:r>
      <w:r w:rsidR="00512F0F">
        <w:t xml:space="preserve">ations of antibiotic treatment. We will be using </w:t>
      </w:r>
      <w:r w:rsidR="00512F0F">
        <w:rPr>
          <w:rFonts w:ascii="Cambria" w:hAnsi="Cambria"/>
        </w:rPr>
        <w:t xml:space="preserve">β-Lactams, which are the most important antibiotic family because of their wide spectrum of efficiency, their bactericidal activity, and their low toxicity (5). </w:t>
      </w:r>
    </w:p>
    <w:p w14:paraId="18C904B7" w14:textId="1D5A695B" w:rsidR="009F1188" w:rsidRPr="009F1188" w:rsidRDefault="009F1188"/>
    <w:p w14:paraId="72C69E98" w14:textId="77777777" w:rsidR="009F1188" w:rsidRDefault="009F1188">
      <w:r>
        <w:rPr>
          <w:b/>
        </w:rPr>
        <w:t>Materials and Methods</w:t>
      </w:r>
      <w:r>
        <w:t xml:space="preserve"> </w:t>
      </w:r>
    </w:p>
    <w:p w14:paraId="0F18DE70" w14:textId="77777777" w:rsidR="003D5BAA" w:rsidRDefault="003D5BAA"/>
    <w:p w14:paraId="481A1BB8" w14:textId="2CA6420E" w:rsidR="003D5BAA" w:rsidRPr="003D5BAA" w:rsidRDefault="003D5BAA">
      <w:pPr>
        <w:rPr>
          <w:b/>
          <w:i/>
          <w:u w:val="single"/>
        </w:rPr>
      </w:pPr>
      <w:r w:rsidRPr="003D5BAA">
        <w:rPr>
          <w:i/>
          <w:u w:val="single"/>
        </w:rPr>
        <w:t>Strains and Cultures</w:t>
      </w:r>
    </w:p>
    <w:p w14:paraId="48BF1D50" w14:textId="77777777" w:rsidR="009F1188" w:rsidRDefault="009F1188"/>
    <w:p w14:paraId="66D455B6" w14:textId="5A9B59C1" w:rsidR="009F1188" w:rsidRDefault="009F1188">
      <w:pPr>
        <w:rPr>
          <w:rFonts w:ascii="Cambria" w:hAnsi="Cambria"/>
        </w:rPr>
      </w:pPr>
      <w:r>
        <w:t>We used the E. coli strain DH5-</w:t>
      </w:r>
      <w:r>
        <w:rPr>
          <w:rFonts w:ascii="Cambria" w:hAnsi="Cambria"/>
        </w:rPr>
        <w:t>αE in which the alleles expressed were mutant constructs from the bla</w:t>
      </w:r>
      <w:r>
        <w:rPr>
          <w:rFonts w:ascii="Cambria" w:hAnsi="Cambria"/>
          <w:vertAlign w:val="subscript"/>
        </w:rPr>
        <w:t>TEM-1</w:t>
      </w:r>
      <w:r w:rsidR="009A03FA">
        <w:rPr>
          <w:rFonts w:ascii="Cambria" w:hAnsi="Cambria"/>
        </w:rPr>
        <w:t xml:space="preserve"> gene in the pBR322 </w:t>
      </w:r>
      <w:r w:rsidR="00586851">
        <w:rPr>
          <w:rFonts w:ascii="Cambria" w:hAnsi="Cambria"/>
        </w:rPr>
        <w:t>plasmid (</w:t>
      </w:r>
      <w:r w:rsidR="009A03FA">
        <w:rPr>
          <w:rFonts w:ascii="Cambria" w:hAnsi="Cambria"/>
        </w:rPr>
        <w:t>1).</w:t>
      </w:r>
      <w:r w:rsidR="00586851">
        <w:rPr>
          <w:rFonts w:ascii="Cambria" w:hAnsi="Cambria"/>
        </w:rPr>
        <w:t xml:space="preserve"> </w:t>
      </w:r>
      <w:r>
        <w:rPr>
          <w:rFonts w:ascii="Cambria" w:hAnsi="Cambria"/>
        </w:rPr>
        <w:t>W</w:t>
      </w:r>
      <w:r w:rsidR="00044A78">
        <w:rPr>
          <w:rFonts w:ascii="Cambria" w:hAnsi="Cambria"/>
        </w:rPr>
        <w:t>e obtained cultures from p-buffer</w:t>
      </w:r>
      <w:r>
        <w:rPr>
          <w:rFonts w:ascii="Cambria" w:hAnsi="Cambria"/>
        </w:rPr>
        <w:t xml:space="preserve"> stocks and incubated them</w:t>
      </w:r>
      <w:r w:rsidR="00221F2B">
        <w:rPr>
          <w:rFonts w:ascii="Cambria" w:hAnsi="Cambria"/>
        </w:rPr>
        <w:t xml:space="preserve"> in 5 mL of Luria B</w:t>
      </w:r>
      <w:r w:rsidR="00044A78">
        <w:rPr>
          <w:rFonts w:ascii="Cambria" w:hAnsi="Cambria"/>
        </w:rPr>
        <w:t>roth with Tetracycline (5mL tetracycline/ 1 Liter of LB)</w:t>
      </w:r>
      <w:r>
        <w:rPr>
          <w:rFonts w:ascii="Cambria" w:hAnsi="Cambria"/>
        </w:rPr>
        <w:t xml:space="preserve">.  In order to get the </w:t>
      </w:r>
      <w:r w:rsidR="00FB76BC">
        <w:rPr>
          <w:rFonts w:ascii="Cambria" w:hAnsi="Cambria"/>
        </w:rPr>
        <w:t>optimum number of bacterial cells, which is 1.9×10</w:t>
      </w:r>
      <w:r w:rsidR="00044A78">
        <w:rPr>
          <w:rFonts w:ascii="Cambria" w:hAnsi="Cambria"/>
          <w:vertAlign w:val="superscript"/>
        </w:rPr>
        <w:t>5</w:t>
      </w:r>
      <w:r w:rsidR="00FB76BC">
        <w:rPr>
          <w:rFonts w:ascii="Cambria" w:hAnsi="Cambria"/>
          <w:vertAlign w:val="superscript"/>
        </w:rPr>
        <w:t xml:space="preserve"> </w:t>
      </w:r>
      <w:r w:rsidR="00FB76BC">
        <w:rPr>
          <w:rFonts w:ascii="Cambria" w:hAnsi="Cambria"/>
        </w:rPr>
        <w:t>cells per mL of broth, in a culture we used the equation:</w:t>
      </w:r>
    </w:p>
    <w:p w14:paraId="54F60549" w14:textId="77777777" w:rsidR="003D5BAA" w:rsidRDefault="003D5BAA">
      <w:pPr>
        <w:rPr>
          <w:rFonts w:ascii="Cambria" w:hAnsi="Cambria"/>
        </w:rPr>
      </w:pPr>
    </w:p>
    <w:p w14:paraId="7AE9042D" w14:textId="77777777" w:rsidR="00FB76BC" w:rsidRDefault="00971FF3" w:rsidP="00FB76BC">
      <w:pPr>
        <w:jc w:val="center"/>
        <w:rPr>
          <w:vertAlign w:val="subscript"/>
        </w:rPr>
      </w:pPr>
      <m:oMath>
        <m:d>
          <m:dPr>
            <m:ctrlPr>
              <w:rPr>
                <w:rFonts w:ascii="Cambria Math" w:hAnsi="Cambria Math"/>
                <w:i/>
              </w:rPr>
            </m:ctrlPr>
          </m:dPr>
          <m:e>
            <m:r>
              <w:rPr>
                <w:rFonts w:ascii="Cambria Math" w:hAnsi="Cambria Math"/>
              </w:rPr>
              <m:t>1.9×</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×O.D.</m:t>
        </m:r>
      </m:oMath>
      <w:r w:rsidR="00044A78">
        <w:t xml:space="preserve"> </w:t>
      </w:r>
      <w:r w:rsidR="00044A78">
        <w:rPr>
          <w:rFonts w:ascii="Cambria" w:hAnsi="Cambria"/>
        </w:rPr>
        <w:t>×</w:t>
      </w:r>
      <w:r w:rsidR="00044A78">
        <w:t>V</w:t>
      </w:r>
      <w:r w:rsidR="00044A78">
        <w:rPr>
          <w:vertAlign w:val="subscript"/>
        </w:rPr>
        <w:t>1</w:t>
      </w:r>
      <w:r w:rsidR="00044A78">
        <w:t xml:space="preserve"> = 1</w:t>
      </w:r>
      <w:r w:rsidR="00044A78">
        <w:rPr>
          <w:rFonts w:ascii="Cambria" w:hAnsi="Cambria"/>
        </w:rPr>
        <w:t>×</w:t>
      </w:r>
      <w:r w:rsidR="00044A78">
        <w:t>10</w:t>
      </w:r>
      <w:r w:rsidR="00044A78">
        <w:rPr>
          <w:vertAlign w:val="superscript"/>
        </w:rPr>
        <w:t xml:space="preserve">5 </w:t>
      </w:r>
      <w:r w:rsidR="00044A78">
        <w:t xml:space="preserve"> </w:t>
      </w:r>
      <w:r w:rsidR="00044A78">
        <w:rPr>
          <w:rFonts w:ascii="Cambria" w:hAnsi="Cambria"/>
        </w:rPr>
        <w:t>×</w:t>
      </w:r>
      <w:r w:rsidR="00044A78">
        <w:t xml:space="preserve"> V</w:t>
      </w:r>
      <w:r w:rsidR="00044A78">
        <w:rPr>
          <w:vertAlign w:val="subscript"/>
        </w:rPr>
        <w:t>2</w:t>
      </w:r>
    </w:p>
    <w:p w14:paraId="5852231D" w14:textId="77777777" w:rsidR="00044A78" w:rsidRDefault="00044A78" w:rsidP="00FB76BC">
      <w:pPr>
        <w:jc w:val="center"/>
        <w:rPr>
          <w:vertAlign w:val="subscript"/>
        </w:rPr>
      </w:pPr>
    </w:p>
    <w:p w14:paraId="6219F79C" w14:textId="77777777" w:rsidR="00044A78" w:rsidRDefault="00044A78" w:rsidP="003D5BAA">
      <w:r>
        <w:t>1.9</w:t>
      </w:r>
      <w:r>
        <w:rPr>
          <w:rFonts w:ascii="Cambria" w:hAnsi="Cambria"/>
        </w:rPr>
        <w:t>×</w:t>
      </w:r>
      <w:r>
        <w:t>10</w:t>
      </w:r>
      <w:r>
        <w:rPr>
          <w:vertAlign w:val="superscript"/>
        </w:rPr>
        <w:t>8</w:t>
      </w:r>
      <w:r>
        <w:t xml:space="preserve"> is the expected number of cells per mL,</w:t>
      </w:r>
    </w:p>
    <w:p w14:paraId="193D00FA" w14:textId="77777777" w:rsidR="00044A78" w:rsidRDefault="00044A78" w:rsidP="003D5BAA">
      <w:r>
        <w:t>V</w:t>
      </w:r>
      <w:r>
        <w:rPr>
          <w:vertAlign w:val="subscript"/>
        </w:rPr>
        <w:t xml:space="preserve">1 </w:t>
      </w:r>
      <w:r>
        <w:t>is the volume of cells we are solving for,</w:t>
      </w:r>
    </w:p>
    <w:p w14:paraId="545B4079" w14:textId="77777777" w:rsidR="00044A78" w:rsidRDefault="00044A78" w:rsidP="003D5BAA">
      <w:r>
        <w:t>V</w:t>
      </w:r>
      <w:r>
        <w:rPr>
          <w:vertAlign w:val="subscript"/>
        </w:rPr>
        <w:t>2</w:t>
      </w:r>
      <w:r>
        <w:t xml:space="preserve"> is the volume of broth we are using for the experiment,</w:t>
      </w:r>
      <w:r w:rsidR="00536560">
        <w:t xml:space="preserve"> 5mL here,</w:t>
      </w:r>
    </w:p>
    <w:p w14:paraId="4BC55100" w14:textId="77777777" w:rsidR="00044A78" w:rsidRDefault="00044A78" w:rsidP="003D5BAA">
      <w:r>
        <w:t>O.D. is the apparent absorption of the culture.</w:t>
      </w:r>
    </w:p>
    <w:p w14:paraId="6BC14E2E" w14:textId="77777777" w:rsidR="00044A78" w:rsidRDefault="00044A78" w:rsidP="003D5BAA"/>
    <w:p w14:paraId="71E12B1A" w14:textId="77777777" w:rsidR="00536560" w:rsidRDefault="00536560" w:rsidP="003D5BAA"/>
    <w:p w14:paraId="663F6FF7" w14:textId="77777777" w:rsidR="00536560" w:rsidRDefault="00536560" w:rsidP="00FB76BC">
      <w:pPr>
        <w:jc w:val="center"/>
      </w:pPr>
    </w:p>
    <w:p w14:paraId="2AB749BF" w14:textId="77777777" w:rsidR="00044A78" w:rsidRDefault="00536560" w:rsidP="00044A78">
      <w:r>
        <w:t>We took the O.D of 200</w:t>
      </w:r>
      <w:r>
        <w:rPr>
          <w:rFonts w:ascii="Cambria" w:hAnsi="Cambria"/>
        </w:rPr>
        <w:t>μ</w:t>
      </w:r>
      <w:r>
        <w:t>L samples of each strain in the Eon</w:t>
      </w:r>
      <w:r w:rsidR="0006392C">
        <w:t xml:space="preserve"> Microplate Spectrophotometer 96</w:t>
      </w:r>
      <w:r>
        <w:t xml:space="preserve"> well plate. With these we calculated the volume of culture needed to transfer to the fresh 5mL Mueller Hinton broth to run the experiment. </w:t>
      </w:r>
    </w:p>
    <w:p w14:paraId="5494F742" w14:textId="77777777" w:rsidR="00536560" w:rsidRDefault="00536560" w:rsidP="00044A78">
      <w:r>
        <w:t xml:space="preserve"> </w:t>
      </w:r>
    </w:p>
    <w:p w14:paraId="71DE74C4" w14:textId="77777777" w:rsidR="00536560" w:rsidRDefault="00536560" w:rsidP="00044A78">
      <w:r>
        <w:t>For example, O.D. for a TEM-1 strain is 0.218</w:t>
      </w:r>
    </w:p>
    <w:p w14:paraId="7E328294" w14:textId="77777777" w:rsidR="00536560" w:rsidRDefault="00536560" w:rsidP="00536560">
      <w:pPr>
        <w:jc w:val="center"/>
      </w:pPr>
    </w:p>
    <w:p w14:paraId="72C85FDF" w14:textId="77777777" w:rsidR="00536560" w:rsidRDefault="00536560" w:rsidP="00536560">
      <w:pPr>
        <w:jc w:val="center"/>
      </w:pPr>
      <w:r>
        <w:t>(1.9</w:t>
      </w:r>
      <w:r>
        <w:rPr>
          <w:rFonts w:ascii="Cambria" w:hAnsi="Cambria"/>
        </w:rPr>
        <w:t>×</w:t>
      </w:r>
      <w:r>
        <w:t>10</w:t>
      </w:r>
      <w:r>
        <w:rPr>
          <w:vertAlign w:val="superscript"/>
        </w:rPr>
        <w:t>8</w:t>
      </w:r>
      <w:r>
        <w:t>)</w:t>
      </w:r>
      <w:r>
        <w:rPr>
          <w:rFonts w:ascii="Cambria" w:hAnsi="Cambria"/>
        </w:rPr>
        <w:t>×</w:t>
      </w:r>
      <w:r>
        <w:t>0.218</w:t>
      </w:r>
      <w:r>
        <w:rPr>
          <w:rFonts w:ascii="Cambria" w:hAnsi="Cambria"/>
        </w:rPr>
        <w:t>×</w:t>
      </w:r>
      <w:r>
        <w:t>V</w:t>
      </w:r>
      <w:r>
        <w:rPr>
          <w:vertAlign w:val="subscript"/>
        </w:rPr>
        <w:t>1</w:t>
      </w:r>
      <w:r>
        <w:t xml:space="preserve"> = 1</w:t>
      </w:r>
      <w:r>
        <w:rPr>
          <w:rFonts w:ascii="Cambria" w:hAnsi="Cambria"/>
        </w:rPr>
        <w:t>×</w:t>
      </w:r>
      <w:r>
        <w:t>10</w:t>
      </w:r>
      <w:r>
        <w:rPr>
          <w:vertAlign w:val="superscript"/>
        </w:rPr>
        <w:t>5</w:t>
      </w:r>
      <w:r>
        <w:t xml:space="preserve"> </w:t>
      </w:r>
      <w:r>
        <w:rPr>
          <w:rFonts w:ascii="Cambria" w:hAnsi="Cambria"/>
        </w:rPr>
        <w:t>×</w:t>
      </w:r>
      <w:r>
        <w:t xml:space="preserve"> 5</w:t>
      </w:r>
    </w:p>
    <w:p w14:paraId="0C12F4D0" w14:textId="77777777" w:rsidR="00536560" w:rsidRDefault="00536560" w:rsidP="00536560">
      <w:pPr>
        <w:jc w:val="center"/>
      </w:pPr>
    </w:p>
    <w:p w14:paraId="4E467A59" w14:textId="77777777" w:rsidR="00536560" w:rsidRDefault="00536560" w:rsidP="00536560">
      <w:pPr>
        <w:jc w:val="center"/>
        <w:rPr>
          <w:vertAlign w:val="superscript"/>
        </w:rPr>
      </w:pPr>
      <w:r>
        <w:t>4.14</w:t>
      </w:r>
      <w:r>
        <w:rPr>
          <w:rFonts w:ascii="Cambria" w:hAnsi="Cambria"/>
        </w:rPr>
        <w:t>×</w:t>
      </w:r>
      <w:r>
        <w:t>10</w:t>
      </w:r>
      <w:r>
        <w:rPr>
          <w:vertAlign w:val="superscript"/>
        </w:rPr>
        <w:t>7</w:t>
      </w:r>
      <w:r>
        <w:t xml:space="preserve"> </w:t>
      </w:r>
      <w:r>
        <w:rPr>
          <w:rFonts w:ascii="Cambria" w:hAnsi="Cambria"/>
        </w:rPr>
        <w:t>×</w:t>
      </w:r>
      <w:r>
        <w:t xml:space="preserve"> V</w:t>
      </w:r>
      <w:r>
        <w:rPr>
          <w:vertAlign w:val="subscript"/>
        </w:rPr>
        <w:t>1</w:t>
      </w:r>
      <w:r>
        <w:t>= 5</w:t>
      </w:r>
      <w:r>
        <w:rPr>
          <w:rFonts w:ascii="Cambria" w:hAnsi="Cambria"/>
        </w:rPr>
        <w:t>×</w:t>
      </w:r>
      <w:r>
        <w:t xml:space="preserve"> 10</w:t>
      </w:r>
      <w:r>
        <w:rPr>
          <w:vertAlign w:val="superscript"/>
        </w:rPr>
        <w:t>5</w:t>
      </w:r>
    </w:p>
    <w:p w14:paraId="00D07750" w14:textId="77777777" w:rsidR="00536560" w:rsidRDefault="00536560" w:rsidP="00536560">
      <w:pPr>
        <w:jc w:val="center"/>
        <w:rPr>
          <w:vertAlign w:val="superscript"/>
        </w:rPr>
      </w:pPr>
    </w:p>
    <w:p w14:paraId="587DD668" w14:textId="77777777" w:rsidR="00536560" w:rsidRDefault="00536560" w:rsidP="00536560">
      <w:pPr>
        <w:jc w:val="center"/>
      </w:pPr>
      <w:r>
        <w:t>V</w:t>
      </w:r>
      <w:r w:rsidR="0006392C">
        <w:rPr>
          <w:vertAlign w:val="subscript"/>
        </w:rPr>
        <w:t>1</w:t>
      </w:r>
      <w:r w:rsidR="0006392C">
        <w:t>=0.012 Liter</w:t>
      </w:r>
    </w:p>
    <w:p w14:paraId="6E974346" w14:textId="77777777" w:rsidR="0006392C" w:rsidRDefault="0006392C" w:rsidP="00536560">
      <w:pPr>
        <w:jc w:val="center"/>
      </w:pPr>
      <w:r>
        <w:lastRenderedPageBreak/>
        <w:t>Or V</w:t>
      </w:r>
      <w:r>
        <w:rPr>
          <w:vertAlign w:val="subscript"/>
        </w:rPr>
        <w:t>1</w:t>
      </w:r>
      <w:r>
        <w:t xml:space="preserve"> = 12</w:t>
      </w:r>
      <w:r>
        <w:rPr>
          <w:rFonts w:ascii="Cambria" w:hAnsi="Cambria"/>
        </w:rPr>
        <w:t>μ</w:t>
      </w:r>
      <w:r>
        <w:t>L</w:t>
      </w:r>
    </w:p>
    <w:p w14:paraId="3BFCC486" w14:textId="77777777" w:rsidR="0006392C" w:rsidRDefault="0006392C" w:rsidP="00536560">
      <w:pPr>
        <w:jc w:val="center"/>
      </w:pPr>
    </w:p>
    <w:p w14:paraId="6B0C1853" w14:textId="77777777" w:rsidR="0006392C" w:rsidRDefault="0006392C" w:rsidP="003D5BAA">
      <w:r>
        <w:t>12</w:t>
      </w:r>
      <w:r>
        <w:rPr>
          <w:rFonts w:ascii="Cambria" w:hAnsi="Cambria"/>
        </w:rPr>
        <w:t>μ</w:t>
      </w:r>
      <w:r>
        <w:t xml:space="preserve">L of culture would be transferred over to 5mL Mueller Hinton broth for the experiment. </w:t>
      </w:r>
    </w:p>
    <w:p w14:paraId="4A0E2B94" w14:textId="77777777" w:rsidR="0006392C" w:rsidRDefault="0006392C" w:rsidP="00536560">
      <w:pPr>
        <w:jc w:val="center"/>
      </w:pPr>
    </w:p>
    <w:p w14:paraId="1CAA9752" w14:textId="77777777" w:rsidR="0006392C" w:rsidRPr="0006392C" w:rsidRDefault="0006392C" w:rsidP="00536560">
      <w:pPr>
        <w:jc w:val="center"/>
      </w:pPr>
    </w:p>
    <w:p w14:paraId="577BF45D" w14:textId="77777777" w:rsidR="00536560" w:rsidRDefault="00536560" w:rsidP="00536560">
      <w:pPr>
        <w:jc w:val="center"/>
      </w:pPr>
    </w:p>
    <w:p w14:paraId="495A69E1" w14:textId="3E73BC37" w:rsidR="00536560" w:rsidRDefault="0006392C" w:rsidP="0006392C">
      <w:r>
        <w:t xml:space="preserve">Once we have the volumes of each culture, we </w:t>
      </w:r>
      <w:r w:rsidR="00815671">
        <w:t>transferred</w:t>
      </w:r>
      <w:r>
        <w:t xml:space="preserve"> them into the new Mueller Hinton broth. On a 384-well plate, we transfer 80</w:t>
      </w:r>
      <w:r>
        <w:rPr>
          <w:rFonts w:ascii="Cambria" w:hAnsi="Cambria"/>
        </w:rPr>
        <w:t>μ</w:t>
      </w:r>
      <w:r>
        <w:t>L of each strain into the first 12 wells as the controls, and the last twelve wells as the experiment cont</w:t>
      </w:r>
      <w:r w:rsidR="00221F2B">
        <w:t>aining the antibiotic. We made the antibiotic solution by dissolving</w:t>
      </w:r>
      <w:r>
        <w:t xml:space="preserve"> 10.24 mg of antibiotic per 1 mL of </w:t>
      </w:r>
      <w:r w:rsidR="00221F2B">
        <w:t>solvent (either p-buffer or water</w:t>
      </w:r>
      <w:r>
        <w:t xml:space="preserve"> depending on the solubility of the drug).  Based on Minimum Inhibitory Concentrations taken prior, we added the specific amount of antibiotic to the remaining cultures and transfer 80</w:t>
      </w:r>
      <w:r>
        <w:rPr>
          <w:rFonts w:ascii="Cambria" w:hAnsi="Cambria"/>
        </w:rPr>
        <w:t>μ</w:t>
      </w:r>
      <w:r>
        <w:t xml:space="preserve">L into the last twelve wells. </w:t>
      </w:r>
      <w:r w:rsidR="00815671">
        <w:t xml:space="preserve">This amount varied among the different antibiotics we used. </w:t>
      </w:r>
    </w:p>
    <w:p w14:paraId="2C9CAB44" w14:textId="77777777" w:rsidR="004E764D" w:rsidRDefault="004E764D" w:rsidP="0006392C"/>
    <w:p w14:paraId="116310F8" w14:textId="271272F9" w:rsidR="00C006F4" w:rsidRDefault="004E764D" w:rsidP="0006392C">
      <w:r>
        <w:t>Once the samples have all been plated, a membrane is pla</w:t>
      </w:r>
      <w:r w:rsidR="00586851">
        <w:t xml:space="preserve">ced over the plate and placed </w:t>
      </w:r>
      <w:r>
        <w:t>in the Eon Microplate Spectrophotometer. The temperature set at 25.1</w:t>
      </w:r>
      <w:r>
        <w:rPr>
          <w:rFonts w:ascii="Cambria" w:hAnsi="Cambria"/>
        </w:rPr>
        <w:t>°</w:t>
      </w:r>
      <w:r>
        <w:t xml:space="preserve">C for 22 hours. This microplate reader takes O.D. measurements </w:t>
      </w:r>
      <w:r w:rsidR="00C006F4">
        <w:t>at A</w:t>
      </w:r>
      <w:r w:rsidR="00C006F4">
        <w:rPr>
          <w:vertAlign w:val="subscript"/>
        </w:rPr>
        <w:t xml:space="preserve">600, </w:t>
      </w:r>
      <w:r w:rsidR="00C006F4">
        <w:t>every</w:t>
      </w:r>
      <w:r>
        <w:t xml:space="preserve"> 20 minutes for the length of the experiment. </w:t>
      </w:r>
      <w:r w:rsidR="00C006F4">
        <w:t xml:space="preserve">The O.D. is taken from the measurement of the fraction of light that is absorbed by a solution. This absorption depends on the wavelength </w:t>
      </w:r>
      <w:r w:rsidR="00586851">
        <w:t>used;</w:t>
      </w:r>
      <w:r w:rsidR="00C006F4">
        <w:t xml:space="preserve"> here </w:t>
      </w:r>
      <w:r w:rsidR="00586851">
        <w:t>we use a wavelength of 600 nm</w:t>
      </w:r>
      <w:r w:rsidR="009A03FA">
        <w:t xml:space="preserve"> (2)</w:t>
      </w:r>
      <w:r w:rsidR="00586851">
        <w:t>.</w:t>
      </w:r>
    </w:p>
    <w:p w14:paraId="0140CF42" w14:textId="77777777" w:rsidR="003D5BAA" w:rsidRDefault="003D5BAA" w:rsidP="0006392C"/>
    <w:p w14:paraId="0CD3C51A" w14:textId="77777777" w:rsidR="001C3BEC" w:rsidRDefault="001C3BEC" w:rsidP="0006392C"/>
    <w:p w14:paraId="333D305E" w14:textId="77777777" w:rsidR="001C3BEC" w:rsidRDefault="001C3BEC" w:rsidP="0006392C"/>
    <w:p w14:paraId="2E5BC4FC" w14:textId="11A0BF42" w:rsidR="003D5BAA" w:rsidRPr="003D5BAA" w:rsidRDefault="003D5BAA" w:rsidP="0006392C">
      <w:pPr>
        <w:rPr>
          <w:i/>
          <w:u w:val="single"/>
        </w:rPr>
      </w:pPr>
      <w:r>
        <w:rPr>
          <w:i/>
          <w:u w:val="single"/>
        </w:rPr>
        <w:t>Growth Rates</w:t>
      </w:r>
    </w:p>
    <w:p w14:paraId="208EB597" w14:textId="77777777" w:rsidR="00C006F4" w:rsidRDefault="00C006F4" w:rsidP="0006392C"/>
    <w:p w14:paraId="1DD91DE0" w14:textId="0C498027" w:rsidR="00CB7EF7" w:rsidRDefault="00C006F4" w:rsidP="0006392C">
      <w:r>
        <w:t>We export the data obtained from the plate reader and run it through the ‘GrowthR</w:t>
      </w:r>
      <w:r w:rsidR="004E764D">
        <w:t xml:space="preserve">ates’ </w:t>
      </w:r>
      <w:r>
        <w:t>program, which</w:t>
      </w:r>
      <w:r w:rsidR="004E764D">
        <w:t xml:space="preserve"> calculates the growth rate based on the growth curve of each sample. This is calculated as the slope </w:t>
      </w:r>
      <w:r w:rsidR="00586851">
        <w:t xml:space="preserve">of the line </w:t>
      </w:r>
      <w:r w:rsidR="004E764D">
        <w:t>at the exponential phase of the growth curve.</w:t>
      </w:r>
      <w:r>
        <w:t xml:space="preserve"> Because bacterial cultures grow exponentially,</w:t>
      </w:r>
      <w:r w:rsidR="00CB7EF7">
        <w:t xml:space="preserve"> and the O.D increases as a function of ln(O.D.). This growth rate is the actual change in number of cells per minute, or can be seen as the change in number of cells p</w:t>
      </w:r>
      <w:r w:rsidR="00586851">
        <w:t>er unit of O.D. This can be written</w:t>
      </w:r>
      <w:r w:rsidR="00CB7EF7">
        <w:t xml:space="preserve"> as </w:t>
      </w:r>
    </w:p>
    <w:p w14:paraId="2D5BE0CF" w14:textId="77777777" w:rsidR="00CB7EF7" w:rsidRDefault="00CB7EF7" w:rsidP="0006392C"/>
    <w:p w14:paraId="38CC3526" w14:textId="77777777" w:rsidR="00CB7EF7" w:rsidRPr="00CB7EF7" w:rsidRDefault="00971FF3" w:rsidP="00CB7EF7">
      <w:pPr>
        <w:jc w:val="cente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αN</m:t>
          </m:r>
        </m:oMath>
      </m:oMathPara>
    </w:p>
    <w:p w14:paraId="0D1FC561" w14:textId="77777777" w:rsidR="00CB7EF7" w:rsidRDefault="00CB7EF7" w:rsidP="00CB7EF7">
      <w:pPr>
        <w:jc w:val="center"/>
      </w:pPr>
    </w:p>
    <w:p w14:paraId="16E3D429" w14:textId="1B718257" w:rsidR="00CB7EF7" w:rsidRDefault="00586851" w:rsidP="003D5BAA">
      <w:r>
        <w:t>Where</w:t>
      </w:r>
      <w:r w:rsidR="00CB7EF7">
        <w:t xml:space="preserve"> N is the number of cells at time (t) </w:t>
      </w:r>
    </w:p>
    <w:p w14:paraId="3D4EEC08" w14:textId="77777777" w:rsidR="00CB7EF7" w:rsidRDefault="00CB7EF7" w:rsidP="003D5BAA">
      <w:r>
        <w:rPr>
          <w:rFonts w:ascii="Cambria" w:hAnsi="Cambria"/>
        </w:rPr>
        <w:t>α</w:t>
      </w:r>
      <w:r>
        <w:t xml:space="preserve"> is the first order growth rate constant, and is in reciprocal time units.</w:t>
      </w:r>
      <w:r w:rsidR="009A03FA">
        <w:t xml:space="preserve"> (2)</w:t>
      </w:r>
    </w:p>
    <w:p w14:paraId="17C1BF28" w14:textId="77777777" w:rsidR="00CB7EF7" w:rsidRDefault="00CB7EF7" w:rsidP="00CB7EF7">
      <w:r>
        <w:t>So,</w:t>
      </w:r>
    </w:p>
    <w:p w14:paraId="7ECF299C" w14:textId="77777777" w:rsidR="00CB7EF7" w:rsidRPr="00CB7EF7" w:rsidRDefault="00971FF3" w:rsidP="00CB7EF7">
      <w:pPr>
        <w:jc w:val="center"/>
      </w:pPr>
      <m:oMathPara>
        <m:oMath>
          <m:f>
            <m:fPr>
              <m:ctrlPr>
                <w:rPr>
                  <w:rFonts w:ascii="Cambria Math" w:hAnsi="Cambria Math"/>
                  <w:i/>
                </w:rPr>
              </m:ctrlPr>
            </m:fPr>
            <m:num>
              <m:r>
                <w:rPr>
                  <w:rFonts w:ascii="Cambria Math" w:hAnsi="Cambria Math"/>
                </w:rPr>
                <m:t>dN</m:t>
              </m:r>
            </m:num>
            <m:den>
              <m:r>
                <w:rPr>
                  <w:rFonts w:ascii="Cambria Math" w:hAnsi="Cambria Math"/>
                </w:rPr>
                <m:t>N</m:t>
              </m:r>
            </m:den>
          </m:f>
          <m:r>
            <w:rPr>
              <w:rFonts w:ascii="Cambria Math" w:hAnsi="Cambria Math"/>
            </w:rPr>
            <m:t>= αt</m:t>
          </m:r>
        </m:oMath>
      </m:oMathPara>
    </w:p>
    <w:p w14:paraId="6C7C3BD5" w14:textId="77777777" w:rsidR="00CB7EF7" w:rsidRDefault="00CB7EF7" w:rsidP="00CB7EF7">
      <w:pPr>
        <w:jc w:val="center"/>
      </w:pPr>
    </w:p>
    <w:p w14:paraId="75104573" w14:textId="77777777" w:rsidR="00CB7EF7" w:rsidRDefault="00CB7EF7" w:rsidP="00CB7EF7">
      <w:r>
        <w:t xml:space="preserve">Integrating this equation from t=0 to t=t </w:t>
      </w:r>
    </w:p>
    <w:p w14:paraId="0C453C59" w14:textId="77777777" w:rsidR="00CB7EF7" w:rsidRDefault="00CB7EF7" w:rsidP="00CB7EF7"/>
    <w:p w14:paraId="5728E7A4" w14:textId="77777777" w:rsidR="00CB7EF7" w:rsidRDefault="00CB7EF7" w:rsidP="00CB7EF7">
      <w:pPr>
        <w:jc w:val="center"/>
      </w:pPr>
      <m:oMathPara>
        <m:oMath>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 α(t-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74B5917" w14:textId="77777777" w:rsidR="00CB7EF7" w:rsidRDefault="00CB7EF7" w:rsidP="00CB7EF7">
      <w:pPr>
        <w:jc w:val="center"/>
      </w:pPr>
    </w:p>
    <w:p w14:paraId="00A5B162" w14:textId="77777777" w:rsidR="00CB7EF7" w:rsidRDefault="00CB7EF7" w:rsidP="00CB7EF7">
      <w:r>
        <w:t>When the exponential phase of the growth curve is fit by linear regression, we can s</w:t>
      </w:r>
      <w:r w:rsidR="009A03FA">
        <w:t>e</w:t>
      </w:r>
      <w:r>
        <w:t xml:space="preserve">e that </w:t>
      </w:r>
      <w:r>
        <w:rPr>
          <w:rFonts w:ascii="Cambria" w:hAnsi="Cambria"/>
        </w:rPr>
        <w:t>α</w:t>
      </w:r>
      <w:r>
        <w:t xml:space="preserve"> is equal to the slope of that line. </w:t>
      </w:r>
      <w:r w:rsidR="009A03FA">
        <w:t>(2)</w:t>
      </w:r>
    </w:p>
    <w:p w14:paraId="4D754949" w14:textId="77777777" w:rsidR="001C3BEC" w:rsidRDefault="001C3BEC" w:rsidP="00CB7EF7"/>
    <w:p w14:paraId="278945C5" w14:textId="77777777" w:rsidR="001C3BEC" w:rsidRDefault="001C3BEC" w:rsidP="00CB7EF7"/>
    <w:p w14:paraId="6F92B0E6" w14:textId="77777777" w:rsidR="009A03FA" w:rsidRDefault="009A03FA" w:rsidP="00CB7EF7"/>
    <w:p w14:paraId="5ED5FF6F" w14:textId="52B52D36" w:rsidR="003D5BAA" w:rsidRDefault="003D5BAA" w:rsidP="00CB7EF7">
      <w:pPr>
        <w:rPr>
          <w:i/>
          <w:u w:val="single"/>
        </w:rPr>
      </w:pPr>
      <w:r>
        <w:rPr>
          <w:i/>
          <w:u w:val="single"/>
        </w:rPr>
        <w:t>Statistical Analysis</w:t>
      </w:r>
    </w:p>
    <w:p w14:paraId="30888CC5" w14:textId="77777777" w:rsidR="00971FF3" w:rsidRDefault="00971FF3" w:rsidP="00CB7EF7"/>
    <w:p w14:paraId="018D2AB3" w14:textId="121E779F" w:rsidR="00971FF3" w:rsidRPr="00971FF3" w:rsidRDefault="00971FF3" w:rsidP="00167F25">
      <w:r>
        <w:t>We used One-Way ANOVA’s to compare the means of the growth rates we obtained and to determine if there were significant differences between the mutants. We compared each of the mutants with those that had just one mutation different, going from the wild type, TEM-1, to TEM-50. We were working with a 95% confidence interval so a p-value of less than or equal to 0.05 probability.  Not only did we compare the experimental data, we also compared the controls with each</w:t>
      </w:r>
      <w:r w:rsidR="00167F25">
        <w:t xml:space="preserve"> </w:t>
      </w:r>
      <w:r>
        <w:t xml:space="preserve">other and the experiment </w:t>
      </w:r>
      <w:r w:rsidR="00167F25">
        <w:t>versus the controls to ensure our results were as accurate as possible.</w:t>
      </w:r>
    </w:p>
    <w:p w14:paraId="0B9457B9" w14:textId="77777777" w:rsidR="003D5BAA" w:rsidRDefault="003D5BAA" w:rsidP="00CB7EF7"/>
    <w:tbl>
      <w:tblPr>
        <w:tblStyle w:val="LightShading"/>
        <w:tblW w:w="0" w:type="auto"/>
        <w:jc w:val="center"/>
        <w:tblLook w:val="04A0" w:firstRow="1" w:lastRow="0" w:firstColumn="1" w:lastColumn="0" w:noHBand="0" w:noVBand="1"/>
      </w:tblPr>
      <w:tblGrid>
        <w:gridCol w:w="2651"/>
        <w:gridCol w:w="2214"/>
      </w:tblGrid>
      <w:tr w:rsidR="00167F25" w14:paraId="5522B032" w14:textId="77777777" w:rsidTr="00380CA3">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4C060FE5" w14:textId="022575F5" w:rsidR="00167F25" w:rsidRPr="00167F25" w:rsidRDefault="00167F25" w:rsidP="00167F25">
            <w:pPr>
              <w:jc w:val="center"/>
              <w:rPr>
                <w:b w:val="0"/>
              </w:rPr>
            </w:pPr>
            <w:r w:rsidRPr="00167F25">
              <w:rPr>
                <w:b w:val="0"/>
              </w:rPr>
              <w:t>Mutants</w:t>
            </w:r>
          </w:p>
        </w:tc>
        <w:tc>
          <w:tcPr>
            <w:tcW w:w="2214" w:type="dxa"/>
          </w:tcPr>
          <w:p w14:paraId="1F9C9591" w14:textId="46A2A892" w:rsidR="00167F25" w:rsidRPr="00167F25" w:rsidRDefault="00167F25" w:rsidP="00167F25">
            <w:pPr>
              <w:jc w:val="center"/>
              <w:cnfStyle w:val="100000000000" w:firstRow="1" w:lastRow="0" w:firstColumn="0" w:lastColumn="0" w:oddVBand="0" w:evenVBand="0" w:oddHBand="0" w:evenHBand="0" w:firstRowFirstColumn="0" w:firstRowLastColumn="0" w:lastRowFirstColumn="0" w:lastRowLastColumn="0"/>
              <w:rPr>
                <w:b w:val="0"/>
              </w:rPr>
            </w:pPr>
            <w:r w:rsidRPr="00167F25">
              <w:rPr>
                <w:b w:val="0"/>
              </w:rPr>
              <w:t xml:space="preserve">Binary </w:t>
            </w:r>
            <w:r w:rsidR="00380CA3">
              <w:rPr>
                <w:b w:val="0"/>
              </w:rPr>
              <w:t xml:space="preserve">Allele </w:t>
            </w:r>
            <w:r w:rsidRPr="00167F25">
              <w:rPr>
                <w:b w:val="0"/>
              </w:rPr>
              <w:t>Code</w:t>
            </w:r>
          </w:p>
        </w:tc>
      </w:tr>
      <w:tr w:rsidR="00167F25" w14:paraId="7F4BA8C7" w14:textId="77777777" w:rsidTr="00380CA3">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2ECE43CF" w14:textId="73FA5AF5" w:rsidR="00167F25" w:rsidRDefault="00167F25" w:rsidP="00167F25">
            <w:pPr>
              <w:jc w:val="center"/>
            </w:pPr>
            <w:r>
              <w:t>TEM-1</w:t>
            </w:r>
          </w:p>
        </w:tc>
        <w:tc>
          <w:tcPr>
            <w:tcW w:w="2214" w:type="dxa"/>
          </w:tcPr>
          <w:p w14:paraId="3A0C2747" w14:textId="668066CE" w:rsidR="00167F25" w:rsidRDefault="00167F25" w:rsidP="00167F25">
            <w:pPr>
              <w:jc w:val="center"/>
              <w:cnfStyle w:val="000000100000" w:firstRow="0" w:lastRow="0" w:firstColumn="0" w:lastColumn="0" w:oddVBand="0" w:evenVBand="0" w:oddHBand="1" w:evenHBand="0" w:firstRowFirstColumn="0" w:firstRowLastColumn="0" w:lastRowFirstColumn="0" w:lastRowLastColumn="0"/>
            </w:pPr>
            <w:r>
              <w:t>0000</w:t>
            </w:r>
          </w:p>
        </w:tc>
      </w:tr>
      <w:tr w:rsidR="00167F25" w14:paraId="0A84B72C" w14:textId="77777777" w:rsidTr="00380CA3">
        <w:trPr>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1496E045" w14:textId="66F4EC23" w:rsidR="00167F25" w:rsidRDefault="00167F25" w:rsidP="00167F25">
            <w:pPr>
              <w:jc w:val="center"/>
            </w:pPr>
            <w:r>
              <w:t>M69L</w:t>
            </w:r>
          </w:p>
        </w:tc>
        <w:tc>
          <w:tcPr>
            <w:tcW w:w="2214" w:type="dxa"/>
          </w:tcPr>
          <w:p w14:paraId="7B2661D9" w14:textId="5D13EBDB" w:rsidR="00167F25" w:rsidRDefault="00167F25" w:rsidP="00167F25">
            <w:pPr>
              <w:jc w:val="center"/>
              <w:cnfStyle w:val="000000000000" w:firstRow="0" w:lastRow="0" w:firstColumn="0" w:lastColumn="0" w:oddVBand="0" w:evenVBand="0" w:oddHBand="0" w:evenHBand="0" w:firstRowFirstColumn="0" w:firstRowLastColumn="0" w:lastRowFirstColumn="0" w:lastRowLastColumn="0"/>
            </w:pPr>
            <w:r>
              <w:t>1000</w:t>
            </w:r>
          </w:p>
        </w:tc>
      </w:tr>
      <w:tr w:rsidR="00167F25" w14:paraId="1A1A7429" w14:textId="77777777" w:rsidTr="00380CA3">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2073D7D9" w14:textId="604C1509" w:rsidR="00167F25" w:rsidRDefault="00167F25" w:rsidP="00167F25">
            <w:pPr>
              <w:jc w:val="center"/>
            </w:pPr>
            <w:r>
              <w:t>E104K</w:t>
            </w:r>
          </w:p>
        </w:tc>
        <w:tc>
          <w:tcPr>
            <w:tcW w:w="2214" w:type="dxa"/>
          </w:tcPr>
          <w:p w14:paraId="172C508A" w14:textId="61CFEA5C" w:rsidR="00167F25" w:rsidRDefault="00167F25" w:rsidP="00167F25">
            <w:pPr>
              <w:jc w:val="center"/>
              <w:cnfStyle w:val="000000100000" w:firstRow="0" w:lastRow="0" w:firstColumn="0" w:lastColumn="0" w:oddVBand="0" w:evenVBand="0" w:oddHBand="1" w:evenHBand="0" w:firstRowFirstColumn="0" w:firstRowLastColumn="0" w:lastRowFirstColumn="0" w:lastRowLastColumn="0"/>
            </w:pPr>
            <w:r>
              <w:t>0100</w:t>
            </w:r>
          </w:p>
        </w:tc>
      </w:tr>
      <w:tr w:rsidR="00167F25" w14:paraId="6529FA8A" w14:textId="77777777" w:rsidTr="00380CA3">
        <w:trPr>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03E6FAF3" w14:textId="005EC170" w:rsidR="00167F25" w:rsidRDefault="00167F25" w:rsidP="00167F25">
            <w:pPr>
              <w:jc w:val="center"/>
            </w:pPr>
            <w:r>
              <w:t>G238S</w:t>
            </w:r>
          </w:p>
        </w:tc>
        <w:tc>
          <w:tcPr>
            <w:tcW w:w="2214" w:type="dxa"/>
          </w:tcPr>
          <w:p w14:paraId="4F35FCA4" w14:textId="4E2F9C62" w:rsidR="00167F25" w:rsidRDefault="00167F25" w:rsidP="00167F25">
            <w:pPr>
              <w:jc w:val="center"/>
              <w:cnfStyle w:val="000000000000" w:firstRow="0" w:lastRow="0" w:firstColumn="0" w:lastColumn="0" w:oddVBand="0" w:evenVBand="0" w:oddHBand="0" w:evenHBand="0" w:firstRowFirstColumn="0" w:firstRowLastColumn="0" w:lastRowFirstColumn="0" w:lastRowLastColumn="0"/>
            </w:pPr>
            <w:r>
              <w:t>0010</w:t>
            </w:r>
          </w:p>
        </w:tc>
      </w:tr>
      <w:tr w:rsidR="00167F25" w14:paraId="638465BB" w14:textId="77777777" w:rsidTr="00380CA3">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167D6D9B" w14:textId="138F4C60" w:rsidR="00167F25" w:rsidRDefault="00167F25" w:rsidP="00167F25">
            <w:pPr>
              <w:jc w:val="center"/>
            </w:pPr>
            <w:r>
              <w:t>N276D</w:t>
            </w:r>
          </w:p>
        </w:tc>
        <w:tc>
          <w:tcPr>
            <w:tcW w:w="2214" w:type="dxa"/>
          </w:tcPr>
          <w:p w14:paraId="64E2953E" w14:textId="7B71A888" w:rsidR="00167F25" w:rsidRDefault="00167F25" w:rsidP="00167F25">
            <w:pPr>
              <w:jc w:val="center"/>
              <w:cnfStyle w:val="000000100000" w:firstRow="0" w:lastRow="0" w:firstColumn="0" w:lastColumn="0" w:oddVBand="0" w:evenVBand="0" w:oddHBand="1" w:evenHBand="0" w:firstRowFirstColumn="0" w:firstRowLastColumn="0" w:lastRowFirstColumn="0" w:lastRowLastColumn="0"/>
            </w:pPr>
            <w:r>
              <w:t>0001</w:t>
            </w:r>
          </w:p>
        </w:tc>
      </w:tr>
      <w:tr w:rsidR="00167F25" w14:paraId="36619603" w14:textId="77777777" w:rsidTr="00380CA3">
        <w:trPr>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693F9A96" w14:textId="525B694F" w:rsidR="00167F25" w:rsidRDefault="00167F25" w:rsidP="00167F25">
            <w:pPr>
              <w:jc w:val="center"/>
            </w:pPr>
            <w:r>
              <w:t>M69L/E104K</w:t>
            </w:r>
          </w:p>
        </w:tc>
        <w:tc>
          <w:tcPr>
            <w:tcW w:w="2214" w:type="dxa"/>
          </w:tcPr>
          <w:p w14:paraId="481A5CA9" w14:textId="17E3D7F0" w:rsidR="00167F25" w:rsidRDefault="00167F25" w:rsidP="00167F25">
            <w:pPr>
              <w:jc w:val="center"/>
              <w:cnfStyle w:val="000000000000" w:firstRow="0" w:lastRow="0" w:firstColumn="0" w:lastColumn="0" w:oddVBand="0" w:evenVBand="0" w:oddHBand="0" w:evenHBand="0" w:firstRowFirstColumn="0" w:firstRowLastColumn="0" w:lastRowFirstColumn="0" w:lastRowLastColumn="0"/>
            </w:pPr>
            <w:r>
              <w:t>1100</w:t>
            </w:r>
          </w:p>
        </w:tc>
      </w:tr>
      <w:tr w:rsidR="00167F25" w14:paraId="346EA10E" w14:textId="77777777" w:rsidTr="00380CA3">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58C4CA07" w14:textId="1ADFDCAB" w:rsidR="00167F25" w:rsidRDefault="00167F25" w:rsidP="00167F25">
            <w:pPr>
              <w:jc w:val="center"/>
            </w:pPr>
            <w:r>
              <w:t>M69L/G238S</w:t>
            </w:r>
          </w:p>
        </w:tc>
        <w:tc>
          <w:tcPr>
            <w:tcW w:w="2214" w:type="dxa"/>
          </w:tcPr>
          <w:p w14:paraId="10875FB0" w14:textId="192154BB" w:rsidR="00167F25" w:rsidRDefault="00167F25" w:rsidP="00167F25">
            <w:pPr>
              <w:jc w:val="center"/>
              <w:cnfStyle w:val="000000100000" w:firstRow="0" w:lastRow="0" w:firstColumn="0" w:lastColumn="0" w:oddVBand="0" w:evenVBand="0" w:oddHBand="1" w:evenHBand="0" w:firstRowFirstColumn="0" w:firstRowLastColumn="0" w:lastRowFirstColumn="0" w:lastRowLastColumn="0"/>
            </w:pPr>
            <w:r>
              <w:t>1010</w:t>
            </w:r>
          </w:p>
        </w:tc>
      </w:tr>
      <w:tr w:rsidR="00167F25" w14:paraId="078B7878" w14:textId="77777777" w:rsidTr="00BB75E0">
        <w:trPr>
          <w:trHeight w:val="234"/>
          <w:jc w:val="center"/>
        </w:trPr>
        <w:tc>
          <w:tcPr>
            <w:cnfStyle w:val="001000000000" w:firstRow="0" w:lastRow="0" w:firstColumn="1" w:lastColumn="0" w:oddVBand="0" w:evenVBand="0" w:oddHBand="0" w:evenHBand="0" w:firstRowFirstColumn="0" w:firstRowLastColumn="0" w:lastRowFirstColumn="0" w:lastRowLastColumn="0"/>
            <w:tcW w:w="2214" w:type="dxa"/>
          </w:tcPr>
          <w:p w14:paraId="13255FD2" w14:textId="2EBC3DC9" w:rsidR="00167F25" w:rsidRDefault="00167F25" w:rsidP="00167F25">
            <w:pPr>
              <w:jc w:val="center"/>
            </w:pPr>
            <w:r>
              <w:t>M69L/N276D</w:t>
            </w:r>
          </w:p>
        </w:tc>
        <w:tc>
          <w:tcPr>
            <w:tcW w:w="2214" w:type="dxa"/>
          </w:tcPr>
          <w:p w14:paraId="1BD9A494" w14:textId="069B162C" w:rsidR="00167F25" w:rsidRDefault="00167F25" w:rsidP="00167F25">
            <w:pPr>
              <w:jc w:val="center"/>
              <w:cnfStyle w:val="000000000000" w:firstRow="0" w:lastRow="0" w:firstColumn="0" w:lastColumn="0" w:oddVBand="0" w:evenVBand="0" w:oddHBand="0" w:evenHBand="0" w:firstRowFirstColumn="0" w:firstRowLastColumn="0" w:lastRowFirstColumn="0" w:lastRowLastColumn="0"/>
            </w:pPr>
            <w:r>
              <w:t>1001</w:t>
            </w:r>
          </w:p>
        </w:tc>
      </w:tr>
      <w:tr w:rsidR="00167F25" w14:paraId="076A6E89" w14:textId="77777777" w:rsidTr="00380CA3">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0C9937A3" w14:textId="06AE5AC6" w:rsidR="00167F25" w:rsidRDefault="00167F25" w:rsidP="00167F25">
            <w:pPr>
              <w:jc w:val="center"/>
            </w:pPr>
            <w:r>
              <w:t>G238S/E104K</w:t>
            </w:r>
          </w:p>
        </w:tc>
        <w:tc>
          <w:tcPr>
            <w:tcW w:w="2214" w:type="dxa"/>
          </w:tcPr>
          <w:p w14:paraId="6CF829DA" w14:textId="69DD07AA" w:rsidR="00167F25" w:rsidRDefault="00167F25" w:rsidP="00167F25">
            <w:pPr>
              <w:jc w:val="center"/>
              <w:cnfStyle w:val="000000100000" w:firstRow="0" w:lastRow="0" w:firstColumn="0" w:lastColumn="0" w:oddVBand="0" w:evenVBand="0" w:oddHBand="1" w:evenHBand="0" w:firstRowFirstColumn="0" w:firstRowLastColumn="0" w:lastRowFirstColumn="0" w:lastRowLastColumn="0"/>
            </w:pPr>
            <w:r>
              <w:t>0110</w:t>
            </w:r>
          </w:p>
        </w:tc>
      </w:tr>
      <w:tr w:rsidR="00167F25" w14:paraId="23AC8BD6" w14:textId="77777777" w:rsidTr="00380CA3">
        <w:trPr>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191F2542" w14:textId="5F7BE544" w:rsidR="00167F25" w:rsidRDefault="00167F25" w:rsidP="00167F25">
            <w:pPr>
              <w:jc w:val="center"/>
            </w:pPr>
            <w:r>
              <w:t>G238S/N276D</w:t>
            </w:r>
          </w:p>
        </w:tc>
        <w:tc>
          <w:tcPr>
            <w:tcW w:w="2214" w:type="dxa"/>
          </w:tcPr>
          <w:p w14:paraId="5AE52440" w14:textId="2F1739BF" w:rsidR="00167F25" w:rsidRDefault="00167F25" w:rsidP="00167F25">
            <w:pPr>
              <w:jc w:val="center"/>
              <w:cnfStyle w:val="000000000000" w:firstRow="0" w:lastRow="0" w:firstColumn="0" w:lastColumn="0" w:oddVBand="0" w:evenVBand="0" w:oddHBand="0" w:evenHBand="0" w:firstRowFirstColumn="0" w:firstRowLastColumn="0" w:lastRowFirstColumn="0" w:lastRowLastColumn="0"/>
            </w:pPr>
            <w:r>
              <w:t>0011</w:t>
            </w:r>
          </w:p>
        </w:tc>
      </w:tr>
      <w:tr w:rsidR="00167F25" w14:paraId="3F4EFF4C" w14:textId="77777777" w:rsidTr="00380CA3">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2D7D4964" w14:textId="290F1846" w:rsidR="00167F25" w:rsidRDefault="00167F25" w:rsidP="00167F25">
            <w:pPr>
              <w:jc w:val="center"/>
            </w:pPr>
            <w:r>
              <w:t>N276D/E104K</w:t>
            </w:r>
          </w:p>
        </w:tc>
        <w:tc>
          <w:tcPr>
            <w:tcW w:w="2214" w:type="dxa"/>
          </w:tcPr>
          <w:p w14:paraId="3A754118" w14:textId="4322FEA2" w:rsidR="00167F25" w:rsidRDefault="00167F25" w:rsidP="00167F25">
            <w:pPr>
              <w:jc w:val="center"/>
              <w:cnfStyle w:val="000000100000" w:firstRow="0" w:lastRow="0" w:firstColumn="0" w:lastColumn="0" w:oddVBand="0" w:evenVBand="0" w:oddHBand="1" w:evenHBand="0" w:firstRowFirstColumn="0" w:firstRowLastColumn="0" w:lastRowFirstColumn="0" w:lastRowLastColumn="0"/>
            </w:pPr>
            <w:r>
              <w:t>0101</w:t>
            </w:r>
          </w:p>
        </w:tc>
      </w:tr>
      <w:tr w:rsidR="00167F25" w14:paraId="120D4565" w14:textId="77777777" w:rsidTr="00380CA3">
        <w:trPr>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54A4EEAF" w14:textId="308F7873" w:rsidR="00167F25" w:rsidRDefault="00167F25" w:rsidP="00167F25">
            <w:pPr>
              <w:jc w:val="center"/>
            </w:pPr>
            <w:r>
              <w:t>M69L/E104K/G238S</w:t>
            </w:r>
          </w:p>
        </w:tc>
        <w:tc>
          <w:tcPr>
            <w:tcW w:w="2214" w:type="dxa"/>
          </w:tcPr>
          <w:p w14:paraId="566594E0" w14:textId="0B0CA753" w:rsidR="00167F25" w:rsidRDefault="00167F25" w:rsidP="00167F25">
            <w:pPr>
              <w:jc w:val="center"/>
              <w:cnfStyle w:val="000000000000" w:firstRow="0" w:lastRow="0" w:firstColumn="0" w:lastColumn="0" w:oddVBand="0" w:evenVBand="0" w:oddHBand="0" w:evenHBand="0" w:firstRowFirstColumn="0" w:firstRowLastColumn="0" w:lastRowFirstColumn="0" w:lastRowLastColumn="0"/>
            </w:pPr>
            <w:r>
              <w:t>1110</w:t>
            </w:r>
          </w:p>
        </w:tc>
      </w:tr>
      <w:tr w:rsidR="00167F25" w14:paraId="4BE3DBB1" w14:textId="77777777" w:rsidTr="00380CA3">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222BFC60" w14:textId="7F7BE2EE" w:rsidR="00167F25" w:rsidRDefault="00167F25" w:rsidP="00167F25">
            <w:pPr>
              <w:jc w:val="center"/>
            </w:pPr>
            <w:r>
              <w:t>M69L/E104K/N276D</w:t>
            </w:r>
          </w:p>
        </w:tc>
        <w:tc>
          <w:tcPr>
            <w:tcW w:w="2214" w:type="dxa"/>
          </w:tcPr>
          <w:p w14:paraId="0C7DA9B2" w14:textId="4EBDC51D" w:rsidR="00167F25" w:rsidRDefault="00167F25" w:rsidP="00167F25">
            <w:pPr>
              <w:jc w:val="center"/>
              <w:cnfStyle w:val="000000100000" w:firstRow="0" w:lastRow="0" w:firstColumn="0" w:lastColumn="0" w:oddVBand="0" w:evenVBand="0" w:oddHBand="1" w:evenHBand="0" w:firstRowFirstColumn="0" w:firstRowLastColumn="0" w:lastRowFirstColumn="0" w:lastRowLastColumn="0"/>
            </w:pPr>
            <w:r>
              <w:t>1101</w:t>
            </w:r>
          </w:p>
        </w:tc>
      </w:tr>
      <w:tr w:rsidR="00167F25" w14:paraId="510A827C" w14:textId="77777777" w:rsidTr="00380CA3">
        <w:trPr>
          <w:trHeight w:val="274"/>
          <w:jc w:val="center"/>
        </w:trPr>
        <w:tc>
          <w:tcPr>
            <w:cnfStyle w:val="001000000000" w:firstRow="0" w:lastRow="0" w:firstColumn="1" w:lastColumn="0" w:oddVBand="0" w:evenVBand="0" w:oddHBand="0" w:evenHBand="0" w:firstRowFirstColumn="0" w:firstRowLastColumn="0" w:lastRowFirstColumn="0" w:lastRowLastColumn="0"/>
            <w:tcW w:w="2214" w:type="dxa"/>
          </w:tcPr>
          <w:p w14:paraId="7F7000D2" w14:textId="613FBEBA" w:rsidR="00167F25" w:rsidRDefault="00167F25" w:rsidP="00167F25">
            <w:pPr>
              <w:jc w:val="center"/>
            </w:pPr>
            <w:r>
              <w:t>G238S/N276D/E104K</w:t>
            </w:r>
          </w:p>
        </w:tc>
        <w:tc>
          <w:tcPr>
            <w:tcW w:w="2214" w:type="dxa"/>
          </w:tcPr>
          <w:p w14:paraId="06DC6B3C" w14:textId="6584D390" w:rsidR="00167F25" w:rsidRDefault="00167F25" w:rsidP="00167F25">
            <w:pPr>
              <w:jc w:val="center"/>
              <w:cnfStyle w:val="000000000000" w:firstRow="0" w:lastRow="0" w:firstColumn="0" w:lastColumn="0" w:oddVBand="0" w:evenVBand="0" w:oddHBand="0" w:evenHBand="0" w:firstRowFirstColumn="0" w:firstRowLastColumn="0" w:lastRowFirstColumn="0" w:lastRowLastColumn="0"/>
            </w:pPr>
            <w:r>
              <w:t>1011</w:t>
            </w:r>
          </w:p>
        </w:tc>
      </w:tr>
      <w:tr w:rsidR="00167F25" w14:paraId="7EF117A8" w14:textId="77777777" w:rsidTr="00380CA3">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1B3CB6E6" w14:textId="33B52E07" w:rsidR="00167F25" w:rsidRDefault="00167F25" w:rsidP="00167F25">
            <w:pPr>
              <w:jc w:val="center"/>
            </w:pPr>
            <w:r>
              <w:t>G238S/N276D/M69L</w:t>
            </w:r>
          </w:p>
        </w:tc>
        <w:tc>
          <w:tcPr>
            <w:tcW w:w="2214" w:type="dxa"/>
          </w:tcPr>
          <w:p w14:paraId="034165F5" w14:textId="48B39FE7" w:rsidR="00167F25" w:rsidRDefault="00167F25" w:rsidP="00167F25">
            <w:pPr>
              <w:jc w:val="center"/>
              <w:cnfStyle w:val="000000100000" w:firstRow="0" w:lastRow="0" w:firstColumn="0" w:lastColumn="0" w:oddVBand="0" w:evenVBand="0" w:oddHBand="1" w:evenHBand="0" w:firstRowFirstColumn="0" w:firstRowLastColumn="0" w:lastRowFirstColumn="0" w:lastRowLastColumn="0"/>
            </w:pPr>
            <w:r>
              <w:t>0111</w:t>
            </w:r>
          </w:p>
        </w:tc>
      </w:tr>
      <w:tr w:rsidR="00167F25" w14:paraId="09DDFC56" w14:textId="77777777" w:rsidTr="00380CA3">
        <w:trPr>
          <w:trHeight w:val="291"/>
          <w:jc w:val="center"/>
        </w:trPr>
        <w:tc>
          <w:tcPr>
            <w:cnfStyle w:val="001000000000" w:firstRow="0" w:lastRow="0" w:firstColumn="1" w:lastColumn="0" w:oddVBand="0" w:evenVBand="0" w:oddHBand="0" w:evenHBand="0" w:firstRowFirstColumn="0" w:firstRowLastColumn="0" w:lastRowFirstColumn="0" w:lastRowLastColumn="0"/>
            <w:tcW w:w="2214" w:type="dxa"/>
          </w:tcPr>
          <w:p w14:paraId="2BA4930C" w14:textId="24263514" w:rsidR="00167F25" w:rsidRDefault="00167F25" w:rsidP="00167F25">
            <w:pPr>
              <w:jc w:val="center"/>
            </w:pPr>
            <w:r>
              <w:t>TEM-50</w:t>
            </w:r>
          </w:p>
        </w:tc>
        <w:tc>
          <w:tcPr>
            <w:tcW w:w="2214" w:type="dxa"/>
          </w:tcPr>
          <w:p w14:paraId="63A9F30C" w14:textId="68CEFED4" w:rsidR="00167F25" w:rsidRDefault="00167F25" w:rsidP="00167F25">
            <w:pPr>
              <w:jc w:val="center"/>
              <w:cnfStyle w:val="000000000000" w:firstRow="0" w:lastRow="0" w:firstColumn="0" w:lastColumn="0" w:oddVBand="0" w:evenVBand="0" w:oddHBand="0" w:evenHBand="0" w:firstRowFirstColumn="0" w:firstRowLastColumn="0" w:lastRowFirstColumn="0" w:lastRowLastColumn="0"/>
            </w:pPr>
            <w:r>
              <w:t>1111</w:t>
            </w:r>
          </w:p>
        </w:tc>
      </w:tr>
    </w:tbl>
    <w:p w14:paraId="3ED79E4A" w14:textId="0C7F5C22" w:rsidR="00380CA3" w:rsidRDefault="00167F25" w:rsidP="0006392C">
      <w:r>
        <w:rPr>
          <w:b/>
        </w:rPr>
        <w:t xml:space="preserve">Table 1: </w:t>
      </w:r>
      <w:r w:rsidR="00380CA3">
        <w:t xml:space="preserve">Constructs containing all of the possible mutations in </w:t>
      </w:r>
      <w:r w:rsidR="00380CA3">
        <w:rPr>
          <w:i/>
        </w:rPr>
        <w:t>bla</w:t>
      </w:r>
      <w:r w:rsidR="00380CA3">
        <w:rPr>
          <w:i/>
          <w:vertAlign w:val="subscript"/>
        </w:rPr>
        <w:t>TEM-50.</w:t>
      </w:r>
      <w:r w:rsidR="00BB75E0">
        <w:rPr>
          <w:i/>
          <w:vertAlign w:val="subscript"/>
        </w:rPr>
        <w:t xml:space="preserve"> </w:t>
      </w:r>
      <w:r w:rsidR="00BB75E0">
        <w:t>The left column lists the mutations with the first letter representing the amino acid that was replaced</w:t>
      </w:r>
      <w:r w:rsidR="00374041">
        <w:t>,</w:t>
      </w:r>
      <w:r w:rsidR="00BB75E0">
        <w:t xml:space="preserve"> followed by the position in the protein, and lastly, the new amino acid present. The number ‘1’ represents the mutation present and a ‘0’ represents the no mutation at that specific location. </w:t>
      </w:r>
      <w:bookmarkStart w:id="0" w:name="_GoBack"/>
      <w:bookmarkEnd w:id="0"/>
    </w:p>
    <w:p w14:paraId="70E047E2" w14:textId="77777777" w:rsidR="00380CA3" w:rsidRDefault="00380CA3" w:rsidP="0006392C"/>
    <w:p w14:paraId="6732A27C" w14:textId="77777777" w:rsidR="00380CA3" w:rsidRDefault="00380CA3" w:rsidP="0006392C"/>
    <w:p w14:paraId="1C9052C7" w14:textId="77777777" w:rsidR="00380CA3" w:rsidRDefault="00380CA3" w:rsidP="0006392C"/>
    <w:p w14:paraId="67C46D10" w14:textId="77777777" w:rsidR="00380CA3" w:rsidRPr="00536560" w:rsidRDefault="00380CA3" w:rsidP="0006392C"/>
    <w:p w14:paraId="541B4A2D" w14:textId="77777777" w:rsidR="009F1188" w:rsidRDefault="009F1188">
      <w:pPr>
        <w:rPr>
          <w:b/>
        </w:rPr>
      </w:pPr>
      <w:r>
        <w:rPr>
          <w:b/>
        </w:rPr>
        <w:t xml:space="preserve">Results </w:t>
      </w:r>
    </w:p>
    <w:tbl>
      <w:tblPr>
        <w:tblStyle w:val="TableGrid"/>
        <w:tblW w:w="0" w:type="auto"/>
        <w:tblLayout w:type="fixed"/>
        <w:tblLook w:val="04A0" w:firstRow="1" w:lastRow="0" w:firstColumn="1" w:lastColumn="0" w:noHBand="0" w:noVBand="1"/>
      </w:tblPr>
      <w:tblGrid>
        <w:gridCol w:w="4518"/>
        <w:gridCol w:w="4338"/>
      </w:tblGrid>
      <w:tr w:rsidR="002E71A4" w14:paraId="6F4056DC" w14:textId="77777777" w:rsidTr="002E71A4">
        <w:trPr>
          <w:trHeight w:val="3509"/>
        </w:trPr>
        <w:tc>
          <w:tcPr>
            <w:tcW w:w="4518" w:type="dxa"/>
          </w:tcPr>
          <w:p w14:paraId="1D4B635D" w14:textId="25760076" w:rsidR="00380CA3" w:rsidRDefault="00374041">
            <w:pPr>
              <w:rPr>
                <w:b/>
              </w:rPr>
            </w:pPr>
            <w:r>
              <w:rPr>
                <w:b/>
              </w:rPr>
              <w:t>A</w:t>
            </w:r>
            <w:r w:rsidR="005C43D8">
              <w:rPr>
                <w:b/>
                <w:noProof/>
              </w:rPr>
              <w:drawing>
                <wp:inline distT="0" distB="0" distL="0" distR="0" wp14:anchorId="75608B33" wp14:editId="4D400378">
                  <wp:extent cx="2739390" cy="2054742"/>
                  <wp:effectExtent l="0" t="0" r="3810" b="3175"/>
                  <wp:docPr id="4" name="Picture 4" descr="Macintosh HD:Users:portia:Dropbox:TEM.50:Landscapes:CPR8Landscape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ortia:Dropbox:TEM.50:Landscapes:CPR8Landscape copy.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9964" cy="2055173"/>
                          </a:xfrm>
                          <a:prstGeom prst="rect">
                            <a:avLst/>
                          </a:prstGeom>
                          <a:noFill/>
                          <a:ln>
                            <a:noFill/>
                          </a:ln>
                        </pic:spPr>
                      </pic:pic>
                    </a:graphicData>
                  </a:graphic>
                </wp:inline>
              </w:drawing>
            </w:r>
          </w:p>
        </w:tc>
        <w:tc>
          <w:tcPr>
            <w:tcW w:w="4338" w:type="dxa"/>
          </w:tcPr>
          <w:p w14:paraId="702FA7AC" w14:textId="3AFC778C" w:rsidR="00380CA3" w:rsidRDefault="00374041">
            <w:pPr>
              <w:rPr>
                <w:b/>
              </w:rPr>
            </w:pPr>
            <w:r>
              <w:rPr>
                <w:b/>
              </w:rPr>
              <w:t>B</w:t>
            </w:r>
            <w:r w:rsidR="005C43D8">
              <w:rPr>
                <w:b/>
                <w:noProof/>
              </w:rPr>
              <w:drawing>
                <wp:inline distT="0" distB="0" distL="0" distR="0" wp14:anchorId="2E515C8B" wp14:editId="5B405E40">
                  <wp:extent cx="2769235" cy="2054742"/>
                  <wp:effectExtent l="0" t="0" r="0" b="3175"/>
                  <wp:docPr id="5" name="Picture 5" descr="Macintosh HD:Users:portia:Dropbox:TEM.50:Landscapes:CPR10Landscape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ortia:Dropbox:TEM.50:Landscapes:CPR10Landscape copy.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9752" cy="2055126"/>
                          </a:xfrm>
                          <a:prstGeom prst="rect">
                            <a:avLst/>
                          </a:prstGeom>
                          <a:noFill/>
                          <a:ln>
                            <a:noFill/>
                          </a:ln>
                        </pic:spPr>
                      </pic:pic>
                    </a:graphicData>
                  </a:graphic>
                </wp:inline>
              </w:drawing>
            </w:r>
          </w:p>
        </w:tc>
      </w:tr>
      <w:tr w:rsidR="002E71A4" w14:paraId="14C4FE3C" w14:textId="77777777" w:rsidTr="002E71A4">
        <w:trPr>
          <w:trHeight w:val="3860"/>
        </w:trPr>
        <w:tc>
          <w:tcPr>
            <w:tcW w:w="4518" w:type="dxa"/>
          </w:tcPr>
          <w:p w14:paraId="69458D17" w14:textId="0283170C" w:rsidR="00380CA3" w:rsidRDefault="00374041">
            <w:pPr>
              <w:rPr>
                <w:b/>
              </w:rPr>
            </w:pPr>
            <w:r>
              <w:rPr>
                <w:b/>
              </w:rPr>
              <w:t>C</w:t>
            </w:r>
            <w:r w:rsidR="005C43D8">
              <w:rPr>
                <w:b/>
                <w:noProof/>
              </w:rPr>
              <w:drawing>
                <wp:inline distT="0" distB="0" distL="0" distR="0" wp14:anchorId="165A0319" wp14:editId="5B4F8504">
                  <wp:extent cx="2776898" cy="2163726"/>
                  <wp:effectExtent l="0" t="0" r="0" b="0"/>
                  <wp:docPr id="6" name="Picture 6" descr="Macintosh HD:Users:portia:Dropbox:TEM.50:Landscapes:CPR12.5Landscape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ortia:Dropbox:TEM.50:Landscapes:CPR12.5Landscape copy.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7726" cy="2164371"/>
                          </a:xfrm>
                          <a:prstGeom prst="rect">
                            <a:avLst/>
                          </a:prstGeom>
                          <a:noFill/>
                          <a:ln>
                            <a:noFill/>
                          </a:ln>
                        </pic:spPr>
                      </pic:pic>
                    </a:graphicData>
                  </a:graphic>
                </wp:inline>
              </w:drawing>
            </w:r>
          </w:p>
        </w:tc>
        <w:tc>
          <w:tcPr>
            <w:tcW w:w="4338" w:type="dxa"/>
          </w:tcPr>
          <w:tbl>
            <w:tblPr>
              <w:tblStyle w:val="TableGrid"/>
              <w:tblW w:w="0" w:type="auto"/>
              <w:tblLayout w:type="fixed"/>
              <w:tblLook w:val="04A0" w:firstRow="1" w:lastRow="0" w:firstColumn="1" w:lastColumn="0" w:noHBand="0" w:noVBand="1"/>
            </w:tblPr>
            <w:tblGrid>
              <w:gridCol w:w="1421"/>
              <w:gridCol w:w="1421"/>
              <w:gridCol w:w="1422"/>
            </w:tblGrid>
            <w:tr w:rsidR="002E71A4" w14:paraId="4C196B9D" w14:textId="77777777" w:rsidTr="002E71A4">
              <w:tc>
                <w:tcPr>
                  <w:tcW w:w="1421" w:type="dxa"/>
                </w:tcPr>
                <w:p w14:paraId="28DF585B" w14:textId="77777777" w:rsidR="002E71A4" w:rsidRDefault="002E71A4" w:rsidP="002E71A4">
                  <w:pPr>
                    <w:rPr>
                      <w:b/>
                    </w:rPr>
                  </w:pPr>
                  <w:r>
                    <w:rPr>
                      <w:b/>
                    </w:rPr>
                    <w:t>Concentrations</w:t>
                  </w:r>
                </w:p>
              </w:tc>
              <w:tc>
                <w:tcPr>
                  <w:tcW w:w="1421" w:type="dxa"/>
                </w:tcPr>
                <w:p w14:paraId="1B4D720E" w14:textId="77777777" w:rsidR="002E71A4" w:rsidRDefault="002E71A4" w:rsidP="002E71A4">
                  <w:pPr>
                    <w:rPr>
                      <w:b/>
                    </w:rPr>
                  </w:pPr>
                  <w:r>
                    <w:rPr>
                      <w:b/>
                    </w:rPr>
                    <w:t xml:space="preserve">New Mutations: Significant/Total </w:t>
                  </w:r>
                </w:p>
              </w:tc>
              <w:tc>
                <w:tcPr>
                  <w:tcW w:w="1422" w:type="dxa"/>
                </w:tcPr>
                <w:p w14:paraId="051D3225" w14:textId="77777777" w:rsidR="002E71A4" w:rsidRDefault="002E71A4" w:rsidP="002E71A4">
                  <w:pPr>
                    <w:rPr>
                      <w:b/>
                    </w:rPr>
                  </w:pPr>
                  <w:r>
                    <w:rPr>
                      <w:b/>
                    </w:rPr>
                    <w:t>Reversions: Significant/Total</w:t>
                  </w:r>
                </w:p>
              </w:tc>
            </w:tr>
            <w:tr w:rsidR="002E71A4" w14:paraId="03C7CCD7" w14:textId="77777777" w:rsidTr="002E71A4">
              <w:trPr>
                <w:trHeight w:val="575"/>
              </w:trPr>
              <w:tc>
                <w:tcPr>
                  <w:tcW w:w="1421" w:type="dxa"/>
                </w:tcPr>
                <w:p w14:paraId="06424C64" w14:textId="3EE410E2" w:rsidR="002E71A4" w:rsidRPr="002E71A4" w:rsidRDefault="002E71A4" w:rsidP="002E71A4">
                  <w:r>
                    <w:t xml:space="preserve">8 </w:t>
                  </w:r>
                  <w:r>
                    <w:rPr>
                      <w:rFonts w:ascii="Cambria" w:hAnsi="Cambria"/>
                    </w:rPr>
                    <w:t>μ</w:t>
                  </w:r>
                  <w:r>
                    <w:t>g/mL</w:t>
                  </w:r>
                </w:p>
              </w:tc>
              <w:tc>
                <w:tcPr>
                  <w:tcW w:w="1421" w:type="dxa"/>
                </w:tcPr>
                <w:p w14:paraId="38795073" w14:textId="0B777439" w:rsidR="002E71A4" w:rsidRDefault="00FE73CF" w:rsidP="002E71A4">
                  <w:pPr>
                    <w:rPr>
                      <w:b/>
                    </w:rPr>
                  </w:pPr>
                  <w:r>
                    <w:rPr>
                      <w:b/>
                    </w:rPr>
                    <w:t>5/21</w:t>
                  </w:r>
                </w:p>
              </w:tc>
              <w:tc>
                <w:tcPr>
                  <w:tcW w:w="1422" w:type="dxa"/>
                </w:tcPr>
                <w:p w14:paraId="2110277E" w14:textId="00B25453" w:rsidR="002E71A4" w:rsidRDefault="00FE73CF" w:rsidP="002E71A4">
                  <w:pPr>
                    <w:rPr>
                      <w:b/>
                    </w:rPr>
                  </w:pPr>
                  <w:r>
                    <w:rPr>
                      <w:b/>
                    </w:rPr>
                    <w:t>1/11</w:t>
                  </w:r>
                </w:p>
              </w:tc>
            </w:tr>
            <w:tr w:rsidR="002E71A4" w14:paraId="164F58F1" w14:textId="77777777" w:rsidTr="002E71A4">
              <w:trPr>
                <w:trHeight w:val="665"/>
              </w:trPr>
              <w:tc>
                <w:tcPr>
                  <w:tcW w:w="1421" w:type="dxa"/>
                </w:tcPr>
                <w:p w14:paraId="230A1332" w14:textId="52D80F4A" w:rsidR="002E71A4" w:rsidRDefault="002E71A4" w:rsidP="002E71A4">
                  <w:pPr>
                    <w:rPr>
                      <w:b/>
                    </w:rPr>
                  </w:pPr>
                  <w:r>
                    <w:t xml:space="preserve">10 </w:t>
                  </w:r>
                  <w:r>
                    <w:rPr>
                      <w:rFonts w:ascii="Cambria" w:hAnsi="Cambria"/>
                    </w:rPr>
                    <w:t>μ</w:t>
                  </w:r>
                  <w:r>
                    <w:t>g/mL</w:t>
                  </w:r>
                </w:p>
              </w:tc>
              <w:tc>
                <w:tcPr>
                  <w:tcW w:w="1421" w:type="dxa"/>
                </w:tcPr>
                <w:p w14:paraId="548F3CC1" w14:textId="5459AEAC" w:rsidR="002E71A4" w:rsidRDefault="00FE73CF" w:rsidP="002E71A4">
                  <w:pPr>
                    <w:rPr>
                      <w:b/>
                    </w:rPr>
                  </w:pPr>
                  <w:r>
                    <w:rPr>
                      <w:b/>
                    </w:rPr>
                    <w:t>5/15</w:t>
                  </w:r>
                </w:p>
              </w:tc>
              <w:tc>
                <w:tcPr>
                  <w:tcW w:w="1422" w:type="dxa"/>
                </w:tcPr>
                <w:p w14:paraId="161A9EEB" w14:textId="74F4F478" w:rsidR="002E71A4" w:rsidRDefault="00FE73CF" w:rsidP="002E71A4">
                  <w:pPr>
                    <w:rPr>
                      <w:b/>
                    </w:rPr>
                  </w:pPr>
                  <w:r>
                    <w:rPr>
                      <w:b/>
                    </w:rPr>
                    <w:t>13/17</w:t>
                  </w:r>
                </w:p>
              </w:tc>
            </w:tr>
            <w:tr w:rsidR="002E71A4" w14:paraId="6C1A5AA7" w14:textId="77777777" w:rsidTr="002E71A4">
              <w:trPr>
                <w:trHeight w:val="629"/>
              </w:trPr>
              <w:tc>
                <w:tcPr>
                  <w:tcW w:w="1421" w:type="dxa"/>
                </w:tcPr>
                <w:p w14:paraId="7D13D889" w14:textId="3A8290EE" w:rsidR="002E71A4" w:rsidRDefault="002E71A4" w:rsidP="002E71A4">
                  <w:pPr>
                    <w:rPr>
                      <w:b/>
                    </w:rPr>
                  </w:pPr>
                  <w:r>
                    <w:t xml:space="preserve">12.5 </w:t>
                  </w:r>
                  <w:r>
                    <w:rPr>
                      <w:rFonts w:ascii="Cambria" w:hAnsi="Cambria"/>
                    </w:rPr>
                    <w:t>μ</w:t>
                  </w:r>
                  <w:r>
                    <w:t>g/mL.</w:t>
                  </w:r>
                </w:p>
              </w:tc>
              <w:tc>
                <w:tcPr>
                  <w:tcW w:w="1421" w:type="dxa"/>
                </w:tcPr>
                <w:p w14:paraId="7D66E871" w14:textId="43BC4E2C" w:rsidR="002E71A4" w:rsidRDefault="00FE73CF" w:rsidP="002E71A4">
                  <w:pPr>
                    <w:rPr>
                      <w:b/>
                    </w:rPr>
                  </w:pPr>
                  <w:r>
                    <w:rPr>
                      <w:b/>
                    </w:rPr>
                    <w:t>2/17</w:t>
                  </w:r>
                </w:p>
              </w:tc>
              <w:tc>
                <w:tcPr>
                  <w:tcW w:w="1422" w:type="dxa"/>
                </w:tcPr>
                <w:p w14:paraId="6FF02DCF" w14:textId="3974C6B5" w:rsidR="002E71A4" w:rsidRDefault="00FE73CF" w:rsidP="002E71A4">
                  <w:pPr>
                    <w:rPr>
                      <w:b/>
                    </w:rPr>
                  </w:pPr>
                  <w:r>
                    <w:rPr>
                      <w:b/>
                    </w:rPr>
                    <w:t>4/15</w:t>
                  </w:r>
                </w:p>
              </w:tc>
            </w:tr>
          </w:tbl>
          <w:p w14:paraId="2C42ABC9" w14:textId="77777777" w:rsidR="00380CA3" w:rsidRDefault="00380CA3">
            <w:pPr>
              <w:rPr>
                <w:b/>
              </w:rPr>
            </w:pPr>
          </w:p>
        </w:tc>
      </w:tr>
    </w:tbl>
    <w:p w14:paraId="5C828C14" w14:textId="77777777" w:rsidR="00380CA3" w:rsidRDefault="00380CA3">
      <w:pPr>
        <w:rPr>
          <w:b/>
        </w:rPr>
      </w:pPr>
    </w:p>
    <w:p w14:paraId="14AEC87E" w14:textId="0793C9AB" w:rsidR="005C43D8" w:rsidRDefault="00380CA3">
      <w:r>
        <w:rPr>
          <w:b/>
        </w:rPr>
        <w:t xml:space="preserve">Figure 1: </w:t>
      </w:r>
      <w:r>
        <w:t>Adaptive Landscapes for Cefprozil at various concentrations</w:t>
      </w:r>
      <w:r w:rsidR="005C43D8">
        <w:t>: a) 8</w:t>
      </w:r>
      <w:r w:rsidR="005C43D8">
        <w:rPr>
          <w:rFonts w:ascii="Cambria" w:hAnsi="Cambria"/>
        </w:rPr>
        <w:t>μ</w:t>
      </w:r>
      <w:r w:rsidR="005C43D8">
        <w:t>g/mL, b) 10</w:t>
      </w:r>
      <w:r w:rsidR="005C43D8">
        <w:rPr>
          <w:rFonts w:ascii="Cambria" w:hAnsi="Cambria"/>
        </w:rPr>
        <w:t>μ</w:t>
      </w:r>
      <w:r w:rsidR="005C43D8">
        <w:t>g/mL, c) 12.5</w:t>
      </w:r>
      <w:r w:rsidR="005C43D8">
        <w:rPr>
          <w:rFonts w:ascii="Cambria" w:hAnsi="Cambria"/>
        </w:rPr>
        <w:t>μ</w:t>
      </w:r>
      <w:r w:rsidR="005C43D8">
        <w:t xml:space="preserve">g/mL. </w:t>
      </w:r>
      <w:r w:rsidR="005A71B3">
        <w:t>Forward arrows signify new mutations and backward arrows signify reversions.</w:t>
      </w:r>
      <w:r w:rsidR="005C43D8">
        <w:t xml:space="preserve"> Red arrows represent significance with a p-value </w:t>
      </w:r>
      <w:r w:rsidR="005C43D8">
        <w:rPr>
          <w:rFonts w:ascii="Cambria" w:hAnsi="Cambria"/>
        </w:rPr>
        <w:t>≤</w:t>
      </w:r>
      <w:r w:rsidR="005C43D8">
        <w:t xml:space="preserve"> 0.05. Black arrows represent non-significance, p-value </w:t>
      </w:r>
      <w:r w:rsidR="005C43D8">
        <w:rPr>
          <w:rFonts w:ascii="Cambria" w:hAnsi="Cambria"/>
        </w:rPr>
        <w:t>≥</w:t>
      </w:r>
      <w:r w:rsidR="005C43D8">
        <w:t xml:space="preserve"> 0.05. </w:t>
      </w:r>
      <w:r w:rsidR="00AF0A2D">
        <w:t>d)</w:t>
      </w:r>
      <w:r w:rsidR="00476731">
        <w:t xml:space="preserve"> Ratio</w:t>
      </w:r>
      <w:r w:rsidR="001C3BEC">
        <w:t>s</w:t>
      </w:r>
      <w:r w:rsidR="00AF0A2D">
        <w:t xml:space="preserve"> of </w:t>
      </w:r>
      <w:r w:rsidR="001C3BEC">
        <w:t xml:space="preserve">the number of new mutations favored over reversions for each concentration of </w:t>
      </w:r>
      <w:r w:rsidR="00833DAE">
        <w:t>Cefprozil. We can see that at 10</w:t>
      </w:r>
      <w:r w:rsidR="001C3BEC">
        <w:rPr>
          <w:rFonts w:ascii="Cambria" w:hAnsi="Cambria"/>
        </w:rPr>
        <w:t>μ</w:t>
      </w:r>
      <w:r w:rsidR="001C3BEC">
        <w:t>g/mL concentration</w:t>
      </w:r>
      <w:r w:rsidR="00833DAE">
        <w:t xml:space="preserve"> there . Any higher concentration, or lower concentrations, the ratios decrease indicating fewer significant changes, whether it be new mutations or reversions.</w:t>
      </w:r>
    </w:p>
    <w:p w14:paraId="245434A4" w14:textId="77777777" w:rsidR="005C43D8" w:rsidRDefault="005C43D8"/>
    <w:p w14:paraId="42FA352A" w14:textId="26B2A0A4" w:rsidR="005C43D8" w:rsidRDefault="005C43D8" w:rsidP="005C43D8">
      <w:pPr>
        <w:rPr>
          <w:b/>
        </w:rPr>
      </w:pPr>
    </w:p>
    <w:p w14:paraId="2DC97D29" w14:textId="77777777" w:rsidR="005C43D8" w:rsidRDefault="005C43D8" w:rsidP="005C43D8">
      <w:pPr>
        <w:rPr>
          <w:b/>
        </w:rPr>
      </w:pPr>
    </w:p>
    <w:p w14:paraId="25D34F9C" w14:textId="77777777" w:rsidR="005C43D8" w:rsidRDefault="005C43D8" w:rsidP="005C43D8">
      <w:pPr>
        <w:rPr>
          <w:b/>
        </w:rPr>
      </w:pPr>
    </w:p>
    <w:p w14:paraId="36A1D29D" w14:textId="77777777" w:rsidR="005C43D8" w:rsidRDefault="005C43D8" w:rsidP="005C43D8">
      <w:pPr>
        <w:rPr>
          <w:b/>
        </w:rPr>
      </w:pPr>
    </w:p>
    <w:p w14:paraId="79199AB0" w14:textId="77777777" w:rsidR="005C43D8" w:rsidRDefault="005C43D8" w:rsidP="005C43D8">
      <w:pPr>
        <w:rPr>
          <w:b/>
        </w:rPr>
      </w:pPr>
    </w:p>
    <w:p w14:paraId="665040FB" w14:textId="77777777" w:rsidR="005C43D8" w:rsidRDefault="005C43D8" w:rsidP="005C43D8">
      <w:pPr>
        <w:rPr>
          <w:b/>
        </w:rPr>
      </w:pPr>
    </w:p>
    <w:p w14:paraId="2FD9BE84" w14:textId="77777777" w:rsidR="005C43D8" w:rsidRDefault="005C43D8" w:rsidP="005C43D8">
      <w:pPr>
        <w:rPr>
          <w:b/>
        </w:rPr>
      </w:pPr>
    </w:p>
    <w:p w14:paraId="4F6EA5EB" w14:textId="77777777" w:rsidR="005C43D8" w:rsidRDefault="005C43D8" w:rsidP="005C43D8">
      <w:pPr>
        <w:rPr>
          <w:b/>
        </w:rPr>
      </w:pPr>
    </w:p>
    <w:tbl>
      <w:tblPr>
        <w:tblStyle w:val="TableGrid"/>
        <w:tblW w:w="0" w:type="auto"/>
        <w:tblLayout w:type="fixed"/>
        <w:tblLook w:val="04A0" w:firstRow="1" w:lastRow="0" w:firstColumn="1" w:lastColumn="0" w:noHBand="0" w:noVBand="1"/>
      </w:tblPr>
      <w:tblGrid>
        <w:gridCol w:w="4518"/>
        <w:gridCol w:w="4338"/>
      </w:tblGrid>
      <w:tr w:rsidR="005C43D8" w14:paraId="0115A509" w14:textId="77777777" w:rsidTr="002E71A4">
        <w:trPr>
          <w:trHeight w:val="3509"/>
        </w:trPr>
        <w:tc>
          <w:tcPr>
            <w:tcW w:w="4518" w:type="dxa"/>
          </w:tcPr>
          <w:p w14:paraId="7DD490B3" w14:textId="341C2801" w:rsidR="005C43D8" w:rsidRPr="00374041" w:rsidRDefault="00374041" w:rsidP="00374041">
            <w:pPr>
              <w:rPr>
                <w:b/>
              </w:rPr>
            </w:pPr>
            <w:r>
              <w:rPr>
                <w:b/>
              </w:rPr>
              <w:t>A</w:t>
            </w:r>
            <w:r w:rsidR="005C43D8">
              <w:rPr>
                <w:b/>
                <w:noProof/>
              </w:rPr>
              <w:drawing>
                <wp:inline distT="0" distB="0" distL="0" distR="0" wp14:anchorId="640D314B" wp14:editId="0025CBD0">
                  <wp:extent cx="2746452" cy="1969681"/>
                  <wp:effectExtent l="0" t="0" r="0" b="12065"/>
                  <wp:docPr id="16" name="Picture 16" descr="Macintosh HD:Users:portia:Dropbox:TEM.50:Landscapes:CAZ0.0625Landscape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ortia:Dropbox:TEM.50:Landscapes:CAZ0.0625Landscape copy.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692" cy="1971288"/>
                          </a:xfrm>
                          <a:prstGeom prst="rect">
                            <a:avLst/>
                          </a:prstGeom>
                          <a:noFill/>
                          <a:ln>
                            <a:noFill/>
                          </a:ln>
                        </pic:spPr>
                      </pic:pic>
                    </a:graphicData>
                  </a:graphic>
                </wp:inline>
              </w:drawing>
            </w:r>
          </w:p>
        </w:tc>
        <w:tc>
          <w:tcPr>
            <w:tcW w:w="4338" w:type="dxa"/>
          </w:tcPr>
          <w:p w14:paraId="7346E03E" w14:textId="37377D0A" w:rsidR="00CB749C" w:rsidRDefault="00374041" w:rsidP="005C43D8">
            <w:pPr>
              <w:rPr>
                <w:b/>
              </w:rPr>
            </w:pPr>
            <w:r>
              <w:rPr>
                <w:b/>
              </w:rPr>
              <w:t>B</w:t>
            </w:r>
            <w:r w:rsidR="005C43D8">
              <w:rPr>
                <w:b/>
                <w:noProof/>
              </w:rPr>
              <w:drawing>
                <wp:inline distT="0" distB="0" distL="0" distR="0" wp14:anchorId="3DD48D93" wp14:editId="5DD9CCF9">
                  <wp:extent cx="2568924" cy="1959049"/>
                  <wp:effectExtent l="0" t="0" r="0" b="0"/>
                  <wp:docPr id="17" name="Picture 17" descr="Macintosh HD:Users:portia:Dropbox:TEM.50:Landscapes:CAZ.1Landscape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ortia:Dropbox:TEM.50:Landscapes:CAZ.1Landscape copy.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691" cy="1959634"/>
                          </a:xfrm>
                          <a:prstGeom prst="rect">
                            <a:avLst/>
                          </a:prstGeom>
                          <a:noFill/>
                          <a:ln>
                            <a:noFill/>
                          </a:ln>
                        </pic:spPr>
                      </pic:pic>
                    </a:graphicData>
                  </a:graphic>
                </wp:inline>
              </w:drawing>
            </w:r>
          </w:p>
          <w:p w14:paraId="20584A32" w14:textId="76231955" w:rsidR="005C43D8" w:rsidRPr="00CB749C" w:rsidRDefault="00CB749C" w:rsidP="00CB749C">
            <w:pPr>
              <w:tabs>
                <w:tab w:val="left" w:pos="1507"/>
              </w:tabs>
            </w:pPr>
            <w:r>
              <w:tab/>
            </w:r>
          </w:p>
        </w:tc>
      </w:tr>
      <w:tr w:rsidR="005C43D8" w14:paraId="5FAFCE88" w14:textId="77777777" w:rsidTr="002E71A4">
        <w:trPr>
          <w:trHeight w:val="3860"/>
        </w:trPr>
        <w:tc>
          <w:tcPr>
            <w:tcW w:w="4518" w:type="dxa"/>
          </w:tcPr>
          <w:p w14:paraId="6C39B312" w14:textId="315A132C" w:rsidR="00374041" w:rsidRDefault="00374041" w:rsidP="005C43D8">
            <w:pPr>
              <w:rPr>
                <w:b/>
              </w:rPr>
            </w:pPr>
            <w:r>
              <w:rPr>
                <w:b/>
              </w:rPr>
              <w:t>C</w:t>
            </w:r>
            <w:r w:rsidR="00CB749C">
              <w:rPr>
                <w:b/>
                <w:noProof/>
              </w:rPr>
              <w:drawing>
                <wp:inline distT="0" distB="0" distL="0" distR="0" wp14:anchorId="15227C7C" wp14:editId="2AB453BE">
                  <wp:extent cx="2662792" cy="2182333"/>
                  <wp:effectExtent l="0" t="0" r="4445" b="2540"/>
                  <wp:docPr id="18" name="Picture 18" descr="Macintosh HD:Users:portia:Dropbox:TEM.50:Landscapes:CAZ1.25Landscape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ortia:Dropbox:TEM.50:Landscapes:CAZ1.25Landscape copy.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426" cy="2182852"/>
                          </a:xfrm>
                          <a:prstGeom prst="rect">
                            <a:avLst/>
                          </a:prstGeom>
                          <a:noFill/>
                          <a:ln>
                            <a:noFill/>
                          </a:ln>
                        </pic:spPr>
                      </pic:pic>
                    </a:graphicData>
                  </a:graphic>
                </wp:inline>
              </w:drawing>
            </w:r>
          </w:p>
          <w:p w14:paraId="23CD3FFF" w14:textId="141CD668" w:rsidR="005C43D8" w:rsidRPr="00374041" w:rsidRDefault="00374041" w:rsidP="00374041">
            <w:pPr>
              <w:tabs>
                <w:tab w:val="left" w:pos="1373"/>
              </w:tabs>
            </w:pPr>
            <w:r>
              <w:tab/>
            </w:r>
          </w:p>
        </w:tc>
        <w:tc>
          <w:tcPr>
            <w:tcW w:w="4338" w:type="dxa"/>
          </w:tcPr>
          <w:tbl>
            <w:tblPr>
              <w:tblStyle w:val="TableGrid"/>
              <w:tblW w:w="0" w:type="auto"/>
              <w:tblLayout w:type="fixed"/>
              <w:tblLook w:val="04A0" w:firstRow="1" w:lastRow="0" w:firstColumn="1" w:lastColumn="0" w:noHBand="0" w:noVBand="1"/>
            </w:tblPr>
            <w:tblGrid>
              <w:gridCol w:w="1421"/>
              <w:gridCol w:w="1421"/>
              <w:gridCol w:w="1422"/>
            </w:tblGrid>
            <w:tr w:rsidR="002E71A4" w14:paraId="4D5E22FE" w14:textId="77777777" w:rsidTr="002E71A4">
              <w:tc>
                <w:tcPr>
                  <w:tcW w:w="1421" w:type="dxa"/>
                </w:tcPr>
                <w:p w14:paraId="4508A7A1" w14:textId="77777777" w:rsidR="002E71A4" w:rsidRDefault="002E71A4" w:rsidP="002E71A4">
                  <w:pPr>
                    <w:rPr>
                      <w:b/>
                    </w:rPr>
                  </w:pPr>
                  <w:r>
                    <w:rPr>
                      <w:b/>
                    </w:rPr>
                    <w:t>Concentrations</w:t>
                  </w:r>
                </w:p>
              </w:tc>
              <w:tc>
                <w:tcPr>
                  <w:tcW w:w="1421" w:type="dxa"/>
                </w:tcPr>
                <w:p w14:paraId="7813A6C0" w14:textId="77777777" w:rsidR="002E71A4" w:rsidRDefault="002E71A4" w:rsidP="002E71A4">
                  <w:pPr>
                    <w:rPr>
                      <w:b/>
                    </w:rPr>
                  </w:pPr>
                  <w:r>
                    <w:rPr>
                      <w:b/>
                    </w:rPr>
                    <w:t xml:space="preserve">New Mutations: Significant/Total </w:t>
                  </w:r>
                </w:p>
              </w:tc>
              <w:tc>
                <w:tcPr>
                  <w:tcW w:w="1422" w:type="dxa"/>
                </w:tcPr>
                <w:p w14:paraId="24F1051E" w14:textId="77777777" w:rsidR="002E71A4" w:rsidRDefault="002E71A4" w:rsidP="002E71A4">
                  <w:pPr>
                    <w:rPr>
                      <w:b/>
                    </w:rPr>
                  </w:pPr>
                  <w:r>
                    <w:rPr>
                      <w:b/>
                    </w:rPr>
                    <w:t>Reversions: Significant/Total</w:t>
                  </w:r>
                </w:p>
              </w:tc>
            </w:tr>
            <w:tr w:rsidR="002E71A4" w14:paraId="2693B5CA" w14:textId="77777777" w:rsidTr="002E71A4">
              <w:tc>
                <w:tcPr>
                  <w:tcW w:w="1421" w:type="dxa"/>
                </w:tcPr>
                <w:p w14:paraId="2F7154F9" w14:textId="6B025679" w:rsidR="002E71A4" w:rsidRDefault="002E71A4" w:rsidP="002E71A4">
                  <w:pPr>
                    <w:rPr>
                      <w:b/>
                    </w:rPr>
                  </w:pPr>
                  <w:r>
                    <w:t>0.0625</w:t>
                  </w:r>
                  <w:r>
                    <w:rPr>
                      <w:rFonts w:ascii="Cambria" w:hAnsi="Cambria"/>
                    </w:rPr>
                    <w:t>μ</w:t>
                  </w:r>
                  <w:r>
                    <w:t>g/mL</w:t>
                  </w:r>
                </w:p>
              </w:tc>
              <w:tc>
                <w:tcPr>
                  <w:tcW w:w="1421" w:type="dxa"/>
                </w:tcPr>
                <w:p w14:paraId="29D5A11C" w14:textId="507E8BCE" w:rsidR="002E71A4" w:rsidRDefault="002E71A4" w:rsidP="002E71A4">
                  <w:pPr>
                    <w:rPr>
                      <w:b/>
                    </w:rPr>
                  </w:pPr>
                  <w:r>
                    <w:rPr>
                      <w:b/>
                    </w:rPr>
                    <w:t>1/19</w:t>
                  </w:r>
                </w:p>
              </w:tc>
              <w:tc>
                <w:tcPr>
                  <w:tcW w:w="1422" w:type="dxa"/>
                </w:tcPr>
                <w:p w14:paraId="0392820C" w14:textId="21C63834" w:rsidR="002E71A4" w:rsidRDefault="002E71A4" w:rsidP="002E71A4">
                  <w:pPr>
                    <w:rPr>
                      <w:b/>
                    </w:rPr>
                  </w:pPr>
                  <w:r>
                    <w:rPr>
                      <w:b/>
                    </w:rPr>
                    <w:t>2/13</w:t>
                  </w:r>
                </w:p>
              </w:tc>
            </w:tr>
            <w:tr w:rsidR="002E71A4" w14:paraId="5E86B27B" w14:textId="77777777" w:rsidTr="002E71A4">
              <w:trPr>
                <w:trHeight w:val="665"/>
              </w:trPr>
              <w:tc>
                <w:tcPr>
                  <w:tcW w:w="1421" w:type="dxa"/>
                </w:tcPr>
                <w:p w14:paraId="0BB1DF67" w14:textId="7BED2035" w:rsidR="002E71A4" w:rsidRDefault="002E71A4" w:rsidP="002E71A4">
                  <w:pPr>
                    <w:rPr>
                      <w:b/>
                    </w:rPr>
                  </w:pPr>
                  <w:r>
                    <w:t>0.1</w:t>
                  </w:r>
                  <w:r>
                    <w:rPr>
                      <w:rFonts w:ascii="Cambria" w:hAnsi="Cambria"/>
                    </w:rPr>
                    <w:t>μ</w:t>
                  </w:r>
                  <w:r>
                    <w:t>g/mL</w:t>
                  </w:r>
                </w:p>
              </w:tc>
              <w:tc>
                <w:tcPr>
                  <w:tcW w:w="1421" w:type="dxa"/>
                </w:tcPr>
                <w:p w14:paraId="41D41DCD" w14:textId="2BE308F7" w:rsidR="002E71A4" w:rsidRDefault="002E71A4" w:rsidP="002E71A4">
                  <w:pPr>
                    <w:rPr>
                      <w:b/>
                    </w:rPr>
                  </w:pPr>
                  <w:r>
                    <w:rPr>
                      <w:b/>
                    </w:rPr>
                    <w:t>11/19</w:t>
                  </w:r>
                </w:p>
              </w:tc>
              <w:tc>
                <w:tcPr>
                  <w:tcW w:w="1422" w:type="dxa"/>
                </w:tcPr>
                <w:p w14:paraId="018821D6" w14:textId="3FDBAFFE" w:rsidR="002E71A4" w:rsidRDefault="002E71A4" w:rsidP="002E71A4">
                  <w:pPr>
                    <w:rPr>
                      <w:b/>
                    </w:rPr>
                  </w:pPr>
                  <w:r>
                    <w:rPr>
                      <w:b/>
                    </w:rPr>
                    <w:t>6/13</w:t>
                  </w:r>
                </w:p>
              </w:tc>
            </w:tr>
            <w:tr w:rsidR="002E71A4" w14:paraId="1FA20434" w14:textId="77777777" w:rsidTr="002E71A4">
              <w:trPr>
                <w:trHeight w:val="629"/>
              </w:trPr>
              <w:tc>
                <w:tcPr>
                  <w:tcW w:w="1421" w:type="dxa"/>
                </w:tcPr>
                <w:p w14:paraId="707A0B2C" w14:textId="4BFD5F49" w:rsidR="002E71A4" w:rsidRDefault="002E71A4" w:rsidP="002E71A4">
                  <w:pPr>
                    <w:rPr>
                      <w:b/>
                    </w:rPr>
                  </w:pPr>
                  <w:r>
                    <w:t>1.25</w:t>
                  </w:r>
                  <w:r>
                    <w:rPr>
                      <w:rFonts w:ascii="Cambria" w:hAnsi="Cambria"/>
                    </w:rPr>
                    <w:t>μ</w:t>
                  </w:r>
                  <w:r>
                    <w:t>g/mL.</w:t>
                  </w:r>
                </w:p>
              </w:tc>
              <w:tc>
                <w:tcPr>
                  <w:tcW w:w="1421" w:type="dxa"/>
                </w:tcPr>
                <w:p w14:paraId="150B9145" w14:textId="722260A8" w:rsidR="002E71A4" w:rsidRDefault="002E71A4" w:rsidP="002E71A4">
                  <w:pPr>
                    <w:rPr>
                      <w:b/>
                    </w:rPr>
                  </w:pPr>
                  <w:r>
                    <w:rPr>
                      <w:b/>
                    </w:rPr>
                    <w:t>14/18</w:t>
                  </w:r>
                </w:p>
              </w:tc>
              <w:tc>
                <w:tcPr>
                  <w:tcW w:w="1422" w:type="dxa"/>
                </w:tcPr>
                <w:p w14:paraId="77D0C853" w14:textId="7138AB65" w:rsidR="002E71A4" w:rsidRDefault="002E71A4" w:rsidP="002E71A4">
                  <w:pPr>
                    <w:rPr>
                      <w:b/>
                    </w:rPr>
                  </w:pPr>
                  <w:r>
                    <w:rPr>
                      <w:b/>
                    </w:rPr>
                    <w:t>9/14</w:t>
                  </w:r>
                </w:p>
              </w:tc>
            </w:tr>
          </w:tbl>
          <w:p w14:paraId="7C979EB0" w14:textId="77777777" w:rsidR="005C43D8" w:rsidRDefault="005C43D8" w:rsidP="005C43D8">
            <w:pPr>
              <w:rPr>
                <w:b/>
              </w:rPr>
            </w:pPr>
          </w:p>
        </w:tc>
      </w:tr>
    </w:tbl>
    <w:p w14:paraId="2F03D747" w14:textId="77777777" w:rsidR="005C43D8" w:rsidRDefault="005C43D8">
      <w:pPr>
        <w:rPr>
          <w:b/>
        </w:rPr>
      </w:pPr>
    </w:p>
    <w:p w14:paraId="568F3CB2" w14:textId="41BC5EE5" w:rsidR="005C43D8" w:rsidRDefault="005C43D8" w:rsidP="005C43D8">
      <w:pPr>
        <w:rPr>
          <w:b/>
        </w:rPr>
      </w:pPr>
      <w:r>
        <w:t xml:space="preserve"> </w:t>
      </w:r>
      <w:r>
        <w:rPr>
          <w:b/>
        </w:rPr>
        <w:t xml:space="preserve">Figure 2: </w:t>
      </w:r>
      <w:r>
        <w:t>Adaptive Landscapes for Ceftazidime at various concentrations: a) 0.0625</w:t>
      </w:r>
      <w:r>
        <w:rPr>
          <w:rFonts w:ascii="Cambria" w:hAnsi="Cambria"/>
        </w:rPr>
        <w:t>μ</w:t>
      </w:r>
      <w:r>
        <w:t>g/mL, b) 0.1</w:t>
      </w:r>
      <w:r>
        <w:rPr>
          <w:rFonts w:ascii="Cambria" w:hAnsi="Cambria"/>
        </w:rPr>
        <w:t>μ</w:t>
      </w:r>
      <w:r>
        <w:t>g/mL, c) 1.25</w:t>
      </w:r>
      <w:r>
        <w:rPr>
          <w:rFonts w:ascii="Cambria" w:hAnsi="Cambria"/>
        </w:rPr>
        <w:t>μ</w:t>
      </w:r>
      <w:r>
        <w:t xml:space="preserve">g/mL. </w:t>
      </w:r>
      <w:r w:rsidR="005A71B3">
        <w:t xml:space="preserve">Forward arrows signify new mutations and backward arrows signify reversions. </w:t>
      </w:r>
      <w:r>
        <w:t xml:space="preserve">Red arrows represent significance with a p-value </w:t>
      </w:r>
      <w:r>
        <w:rPr>
          <w:rFonts w:ascii="Cambria" w:hAnsi="Cambria"/>
        </w:rPr>
        <w:t>≤</w:t>
      </w:r>
      <w:r>
        <w:t xml:space="preserve"> 0.05. Black arrows represent non-significance, p-value </w:t>
      </w:r>
      <w:r>
        <w:rPr>
          <w:rFonts w:ascii="Cambria" w:hAnsi="Cambria"/>
        </w:rPr>
        <w:t>≥</w:t>
      </w:r>
      <w:r>
        <w:t xml:space="preserve"> 0.05.</w:t>
      </w:r>
      <w:r w:rsidR="001C3BEC" w:rsidRPr="001C3BEC">
        <w:t xml:space="preserve"> </w:t>
      </w:r>
      <w:r w:rsidR="001C3BEC">
        <w:t xml:space="preserve">d) </w:t>
      </w:r>
      <w:r w:rsidR="00833DAE">
        <w:t>Ratio</w:t>
      </w:r>
      <w:r w:rsidR="001C3BEC">
        <w:t>s of the number of new mutations favored over reversions for each concentration of Ceftazidime. We can see that the higher the co</w:t>
      </w:r>
      <w:r w:rsidR="00833DAE">
        <w:t>ncentrations of Ceftazidime the higher the ratio of significant new mutations.</w:t>
      </w:r>
    </w:p>
    <w:p w14:paraId="50184C6F" w14:textId="77777777" w:rsidR="005C43D8" w:rsidRDefault="005C43D8" w:rsidP="005C43D8">
      <w:pPr>
        <w:rPr>
          <w:b/>
        </w:rPr>
      </w:pPr>
    </w:p>
    <w:p w14:paraId="4F391B03" w14:textId="77777777" w:rsidR="005C43D8" w:rsidRDefault="005C43D8" w:rsidP="005C43D8">
      <w:pPr>
        <w:rPr>
          <w:b/>
        </w:rPr>
      </w:pPr>
    </w:p>
    <w:p w14:paraId="5CCE1004" w14:textId="77777777" w:rsidR="005C43D8" w:rsidRDefault="005C43D8" w:rsidP="005C43D8">
      <w:pPr>
        <w:rPr>
          <w:b/>
        </w:rPr>
      </w:pPr>
    </w:p>
    <w:tbl>
      <w:tblPr>
        <w:tblStyle w:val="TableGrid"/>
        <w:tblW w:w="0" w:type="auto"/>
        <w:tblLayout w:type="fixed"/>
        <w:tblLook w:val="04A0" w:firstRow="1" w:lastRow="0" w:firstColumn="1" w:lastColumn="0" w:noHBand="0" w:noVBand="1"/>
      </w:tblPr>
      <w:tblGrid>
        <w:gridCol w:w="4361"/>
        <w:gridCol w:w="4495"/>
      </w:tblGrid>
      <w:tr w:rsidR="005C43D8" w14:paraId="114ADB29" w14:textId="77777777" w:rsidTr="00CC61FF">
        <w:trPr>
          <w:trHeight w:val="3509"/>
        </w:trPr>
        <w:tc>
          <w:tcPr>
            <w:tcW w:w="4361" w:type="dxa"/>
          </w:tcPr>
          <w:p w14:paraId="41F343C2" w14:textId="7AE58D3F" w:rsidR="005C43D8" w:rsidRDefault="00374041" w:rsidP="005C43D8">
            <w:pPr>
              <w:rPr>
                <w:b/>
              </w:rPr>
            </w:pPr>
            <w:r>
              <w:rPr>
                <w:b/>
              </w:rPr>
              <w:t>A</w:t>
            </w:r>
            <w:r w:rsidR="00CB749C">
              <w:rPr>
                <w:b/>
                <w:noProof/>
              </w:rPr>
              <w:drawing>
                <wp:inline distT="0" distB="0" distL="0" distR="0" wp14:anchorId="655A6DB7" wp14:editId="4266C021">
                  <wp:extent cx="2628265" cy="2081323"/>
                  <wp:effectExtent l="0" t="0" r="0" b="1905"/>
                  <wp:docPr id="19" name="Picture 19" descr="Macintosh HD:Users:portia:Dropbox:TEM.50:Landscapes:CTT0.0312Landscape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ortia:Dropbox:TEM.50:Landscapes:CTT0.0312Landscape copy.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1409" cy="2083813"/>
                          </a:xfrm>
                          <a:prstGeom prst="rect">
                            <a:avLst/>
                          </a:prstGeom>
                          <a:noFill/>
                          <a:ln>
                            <a:noFill/>
                          </a:ln>
                        </pic:spPr>
                      </pic:pic>
                    </a:graphicData>
                  </a:graphic>
                </wp:inline>
              </w:drawing>
            </w:r>
          </w:p>
        </w:tc>
        <w:tc>
          <w:tcPr>
            <w:tcW w:w="4495" w:type="dxa"/>
          </w:tcPr>
          <w:p w14:paraId="2C7B4D22" w14:textId="47359317" w:rsidR="00374041" w:rsidRDefault="00374041" w:rsidP="005C43D8">
            <w:pPr>
              <w:rPr>
                <w:b/>
              </w:rPr>
            </w:pPr>
            <w:r>
              <w:rPr>
                <w:b/>
              </w:rPr>
              <w:t>B</w:t>
            </w:r>
            <w:r w:rsidR="00CB749C">
              <w:rPr>
                <w:b/>
                <w:noProof/>
              </w:rPr>
              <w:drawing>
                <wp:inline distT="0" distB="0" distL="0" distR="0" wp14:anchorId="7523F823" wp14:editId="452F6B56">
                  <wp:extent cx="2628811" cy="1987485"/>
                  <wp:effectExtent l="0" t="0" r="0" b="0"/>
                  <wp:docPr id="20" name="Picture 20" descr="Macintosh HD:Users:portia:Dropbox:TEM.50:Landscapes:CTT0.0625Landscape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ortia:Dropbox:TEM.50:Landscapes:CTT0.0625Landscape copy.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0578" cy="1988821"/>
                          </a:xfrm>
                          <a:prstGeom prst="rect">
                            <a:avLst/>
                          </a:prstGeom>
                          <a:noFill/>
                          <a:ln>
                            <a:noFill/>
                          </a:ln>
                        </pic:spPr>
                      </pic:pic>
                    </a:graphicData>
                  </a:graphic>
                </wp:inline>
              </w:drawing>
            </w:r>
          </w:p>
          <w:p w14:paraId="3C04395D" w14:textId="77777777" w:rsidR="005C43D8" w:rsidRPr="00374041" w:rsidRDefault="005C43D8" w:rsidP="00374041">
            <w:pPr>
              <w:ind w:firstLine="720"/>
            </w:pPr>
          </w:p>
        </w:tc>
      </w:tr>
      <w:tr w:rsidR="005C43D8" w14:paraId="05EAE939" w14:textId="77777777" w:rsidTr="00374041">
        <w:trPr>
          <w:trHeight w:val="3617"/>
        </w:trPr>
        <w:tc>
          <w:tcPr>
            <w:tcW w:w="4361" w:type="dxa"/>
          </w:tcPr>
          <w:p w14:paraId="6F4DDFAE" w14:textId="197F7FEE" w:rsidR="00374041" w:rsidRDefault="00374041" w:rsidP="005C43D8">
            <w:pPr>
              <w:rPr>
                <w:b/>
              </w:rPr>
            </w:pPr>
            <w:r>
              <w:rPr>
                <w:b/>
              </w:rPr>
              <w:t>C</w:t>
            </w:r>
            <w:r w:rsidR="00CB749C">
              <w:rPr>
                <w:b/>
                <w:noProof/>
              </w:rPr>
              <w:drawing>
                <wp:inline distT="0" distB="0" distL="0" distR="0" wp14:anchorId="405D8AFD" wp14:editId="00945FB4">
                  <wp:extent cx="2662405" cy="2107905"/>
                  <wp:effectExtent l="0" t="0" r="5080" b="635"/>
                  <wp:docPr id="21" name="Picture 21" descr="Macintosh HD:Users:portia:Dropbox:TEM.50:Landscapes:CTT0.125Landscape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ortia:Dropbox:TEM.50:Landscapes:CTT0.125Landscape copy.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3426" cy="2108713"/>
                          </a:xfrm>
                          <a:prstGeom prst="rect">
                            <a:avLst/>
                          </a:prstGeom>
                          <a:noFill/>
                          <a:ln>
                            <a:noFill/>
                          </a:ln>
                        </pic:spPr>
                      </pic:pic>
                    </a:graphicData>
                  </a:graphic>
                </wp:inline>
              </w:drawing>
            </w:r>
          </w:p>
          <w:p w14:paraId="2E122D05" w14:textId="0A55D2AA" w:rsidR="005C43D8" w:rsidRPr="00374041" w:rsidRDefault="00374041" w:rsidP="00374041">
            <w:pPr>
              <w:tabs>
                <w:tab w:val="left" w:pos="2913"/>
              </w:tabs>
            </w:pPr>
            <w:r>
              <w:tab/>
            </w:r>
          </w:p>
        </w:tc>
        <w:tc>
          <w:tcPr>
            <w:tcW w:w="4495" w:type="dxa"/>
          </w:tcPr>
          <w:tbl>
            <w:tblPr>
              <w:tblStyle w:val="TableGrid"/>
              <w:tblW w:w="0" w:type="auto"/>
              <w:tblLayout w:type="fixed"/>
              <w:tblLook w:val="04A0" w:firstRow="1" w:lastRow="0" w:firstColumn="1" w:lastColumn="0" w:noHBand="0" w:noVBand="1"/>
            </w:tblPr>
            <w:tblGrid>
              <w:gridCol w:w="1421"/>
              <w:gridCol w:w="1421"/>
              <w:gridCol w:w="1422"/>
            </w:tblGrid>
            <w:tr w:rsidR="00CC61FF" w14:paraId="30C25A4F" w14:textId="77777777" w:rsidTr="00087893">
              <w:tc>
                <w:tcPr>
                  <w:tcW w:w="1421" w:type="dxa"/>
                </w:tcPr>
                <w:p w14:paraId="759F2126" w14:textId="7D27BAA1" w:rsidR="00CC61FF" w:rsidRDefault="00087893" w:rsidP="00CC61FF">
                  <w:pPr>
                    <w:rPr>
                      <w:b/>
                    </w:rPr>
                  </w:pPr>
                  <w:r>
                    <w:rPr>
                      <w:b/>
                    </w:rPr>
                    <w:t>Concentrations</w:t>
                  </w:r>
                </w:p>
              </w:tc>
              <w:tc>
                <w:tcPr>
                  <w:tcW w:w="1421" w:type="dxa"/>
                </w:tcPr>
                <w:p w14:paraId="74C7B107" w14:textId="5588A8D8" w:rsidR="00CC61FF" w:rsidRDefault="00087893" w:rsidP="005C43D8">
                  <w:pPr>
                    <w:rPr>
                      <w:b/>
                    </w:rPr>
                  </w:pPr>
                  <w:r>
                    <w:rPr>
                      <w:b/>
                    </w:rPr>
                    <w:t xml:space="preserve">New Mutations: Significant/Total </w:t>
                  </w:r>
                </w:p>
              </w:tc>
              <w:tc>
                <w:tcPr>
                  <w:tcW w:w="1422" w:type="dxa"/>
                </w:tcPr>
                <w:p w14:paraId="2BDF4E0F" w14:textId="76C24F97" w:rsidR="00CC61FF" w:rsidRDefault="00087893" w:rsidP="005C43D8">
                  <w:pPr>
                    <w:rPr>
                      <w:b/>
                    </w:rPr>
                  </w:pPr>
                  <w:r>
                    <w:rPr>
                      <w:b/>
                    </w:rPr>
                    <w:t>Reversions: Significant/Total</w:t>
                  </w:r>
                </w:p>
              </w:tc>
            </w:tr>
            <w:tr w:rsidR="00CC61FF" w14:paraId="682C60CA" w14:textId="77777777" w:rsidTr="00087893">
              <w:tc>
                <w:tcPr>
                  <w:tcW w:w="1421" w:type="dxa"/>
                </w:tcPr>
                <w:p w14:paraId="2B0F5FC4" w14:textId="579F43D5" w:rsidR="00CC61FF" w:rsidRDefault="00087893" w:rsidP="005C43D8">
                  <w:pPr>
                    <w:rPr>
                      <w:b/>
                    </w:rPr>
                  </w:pPr>
                  <w:r>
                    <w:t>0.0312</w:t>
                  </w:r>
                  <w:r>
                    <w:rPr>
                      <w:rFonts w:ascii="Cambria" w:hAnsi="Cambria"/>
                    </w:rPr>
                    <w:t>μ</w:t>
                  </w:r>
                  <w:r>
                    <w:t>g/mL</w:t>
                  </w:r>
                </w:p>
              </w:tc>
              <w:tc>
                <w:tcPr>
                  <w:tcW w:w="1421" w:type="dxa"/>
                </w:tcPr>
                <w:p w14:paraId="07D9BE98" w14:textId="50567CE4" w:rsidR="00CC61FF" w:rsidRDefault="00087893" w:rsidP="005C43D8">
                  <w:pPr>
                    <w:rPr>
                      <w:b/>
                    </w:rPr>
                  </w:pPr>
                  <w:r>
                    <w:rPr>
                      <w:b/>
                    </w:rPr>
                    <w:t>7/18</w:t>
                  </w:r>
                </w:p>
              </w:tc>
              <w:tc>
                <w:tcPr>
                  <w:tcW w:w="1422" w:type="dxa"/>
                </w:tcPr>
                <w:p w14:paraId="47717F45" w14:textId="1B95D69E" w:rsidR="00CC61FF" w:rsidRDefault="00087893" w:rsidP="005C43D8">
                  <w:pPr>
                    <w:rPr>
                      <w:b/>
                    </w:rPr>
                  </w:pPr>
                  <w:r>
                    <w:rPr>
                      <w:b/>
                    </w:rPr>
                    <w:t>9/14</w:t>
                  </w:r>
                </w:p>
              </w:tc>
            </w:tr>
            <w:tr w:rsidR="00CC61FF" w14:paraId="2757DA93" w14:textId="77777777" w:rsidTr="00EE207C">
              <w:trPr>
                <w:trHeight w:val="665"/>
              </w:trPr>
              <w:tc>
                <w:tcPr>
                  <w:tcW w:w="1421" w:type="dxa"/>
                </w:tcPr>
                <w:p w14:paraId="098A26B6" w14:textId="4BA28467" w:rsidR="00CC61FF" w:rsidRDefault="00087893" w:rsidP="005C43D8">
                  <w:pPr>
                    <w:rPr>
                      <w:b/>
                    </w:rPr>
                  </w:pPr>
                  <w:r>
                    <w:t>0.0625</w:t>
                  </w:r>
                  <w:r>
                    <w:rPr>
                      <w:rFonts w:ascii="Cambria" w:hAnsi="Cambria"/>
                    </w:rPr>
                    <w:t>μ</w:t>
                  </w:r>
                  <w:r>
                    <w:t>g/mL</w:t>
                  </w:r>
                </w:p>
              </w:tc>
              <w:tc>
                <w:tcPr>
                  <w:tcW w:w="1421" w:type="dxa"/>
                </w:tcPr>
                <w:p w14:paraId="13FBDB3A" w14:textId="21020C79" w:rsidR="00CC61FF" w:rsidRDefault="00087893" w:rsidP="005C43D8">
                  <w:pPr>
                    <w:rPr>
                      <w:b/>
                    </w:rPr>
                  </w:pPr>
                  <w:r>
                    <w:rPr>
                      <w:b/>
                    </w:rPr>
                    <w:t>1/21</w:t>
                  </w:r>
                </w:p>
              </w:tc>
              <w:tc>
                <w:tcPr>
                  <w:tcW w:w="1422" w:type="dxa"/>
                </w:tcPr>
                <w:p w14:paraId="40160202" w14:textId="66A54908" w:rsidR="00CC61FF" w:rsidRDefault="00087893" w:rsidP="005C43D8">
                  <w:pPr>
                    <w:rPr>
                      <w:b/>
                    </w:rPr>
                  </w:pPr>
                  <w:r>
                    <w:rPr>
                      <w:b/>
                    </w:rPr>
                    <w:t>4/11</w:t>
                  </w:r>
                </w:p>
              </w:tc>
            </w:tr>
            <w:tr w:rsidR="00CC61FF" w14:paraId="7ACC8E6D" w14:textId="77777777" w:rsidTr="00EE207C">
              <w:trPr>
                <w:trHeight w:val="629"/>
              </w:trPr>
              <w:tc>
                <w:tcPr>
                  <w:tcW w:w="1421" w:type="dxa"/>
                </w:tcPr>
                <w:p w14:paraId="7068F6B1" w14:textId="495CAE56" w:rsidR="00CC61FF" w:rsidRDefault="00087893" w:rsidP="005C43D8">
                  <w:pPr>
                    <w:rPr>
                      <w:b/>
                    </w:rPr>
                  </w:pPr>
                  <w:r>
                    <w:t>0.125</w:t>
                  </w:r>
                  <w:r>
                    <w:rPr>
                      <w:rFonts w:ascii="Cambria" w:hAnsi="Cambria"/>
                    </w:rPr>
                    <w:t>μ</w:t>
                  </w:r>
                  <w:r>
                    <w:t>g/mL.</w:t>
                  </w:r>
                </w:p>
              </w:tc>
              <w:tc>
                <w:tcPr>
                  <w:tcW w:w="1421" w:type="dxa"/>
                </w:tcPr>
                <w:p w14:paraId="05CCD479" w14:textId="67699AA3" w:rsidR="00CC61FF" w:rsidRDefault="00EE207C" w:rsidP="005C43D8">
                  <w:pPr>
                    <w:rPr>
                      <w:b/>
                    </w:rPr>
                  </w:pPr>
                  <w:r>
                    <w:rPr>
                      <w:b/>
                    </w:rPr>
                    <w:t>10/14</w:t>
                  </w:r>
                </w:p>
              </w:tc>
              <w:tc>
                <w:tcPr>
                  <w:tcW w:w="1422" w:type="dxa"/>
                </w:tcPr>
                <w:p w14:paraId="1DFFD64A" w14:textId="4284028A" w:rsidR="00CC61FF" w:rsidRDefault="00EE207C" w:rsidP="005C43D8">
                  <w:pPr>
                    <w:rPr>
                      <w:b/>
                    </w:rPr>
                  </w:pPr>
                  <w:r>
                    <w:rPr>
                      <w:b/>
                    </w:rPr>
                    <w:t>12/18</w:t>
                  </w:r>
                </w:p>
              </w:tc>
            </w:tr>
          </w:tbl>
          <w:p w14:paraId="198B0927" w14:textId="77777777" w:rsidR="005C43D8" w:rsidRDefault="005C43D8" w:rsidP="005C43D8">
            <w:pPr>
              <w:rPr>
                <w:b/>
              </w:rPr>
            </w:pPr>
          </w:p>
        </w:tc>
      </w:tr>
    </w:tbl>
    <w:p w14:paraId="36D3D745" w14:textId="77777777" w:rsidR="005C43D8" w:rsidRDefault="005C43D8">
      <w:pPr>
        <w:rPr>
          <w:b/>
        </w:rPr>
      </w:pPr>
    </w:p>
    <w:p w14:paraId="35DFC217" w14:textId="4C019D99" w:rsidR="00167F25" w:rsidRDefault="00CB749C">
      <w:pPr>
        <w:rPr>
          <w:b/>
        </w:rPr>
      </w:pPr>
      <w:r>
        <w:rPr>
          <w:b/>
        </w:rPr>
        <w:t xml:space="preserve">Figure 3: </w:t>
      </w:r>
      <w:r w:rsidR="005C43D8">
        <w:t>A</w:t>
      </w:r>
      <w:r>
        <w:t>daptive Landscapes for Cefotetan at various concentrations: a) 0.0312</w:t>
      </w:r>
      <w:r w:rsidR="005C43D8">
        <w:rPr>
          <w:rFonts w:ascii="Cambria" w:hAnsi="Cambria"/>
        </w:rPr>
        <w:t>μ</w:t>
      </w:r>
      <w:r>
        <w:t>g/mL, b) 0.0625</w:t>
      </w:r>
      <w:r w:rsidR="005C43D8">
        <w:rPr>
          <w:rFonts w:ascii="Cambria" w:hAnsi="Cambria"/>
        </w:rPr>
        <w:t>μ</w:t>
      </w:r>
      <w:r>
        <w:t>g/mL, c) 0.12</w:t>
      </w:r>
      <w:r w:rsidR="005C43D8">
        <w:t>5</w:t>
      </w:r>
      <w:r w:rsidR="005C43D8">
        <w:rPr>
          <w:rFonts w:ascii="Cambria" w:hAnsi="Cambria"/>
        </w:rPr>
        <w:t>μ</w:t>
      </w:r>
      <w:r w:rsidR="005C43D8">
        <w:t xml:space="preserve">g/mL. </w:t>
      </w:r>
      <w:r w:rsidR="005A71B3">
        <w:t xml:space="preserve">Forward arrows signify new mutations and backward arrows signify reversions. </w:t>
      </w:r>
      <w:r w:rsidR="005C43D8">
        <w:t xml:space="preserve">Red arrows represent significance with a p-value </w:t>
      </w:r>
      <w:r w:rsidR="005C43D8">
        <w:rPr>
          <w:rFonts w:ascii="Cambria" w:hAnsi="Cambria"/>
        </w:rPr>
        <w:t>≤</w:t>
      </w:r>
      <w:r w:rsidR="005C43D8">
        <w:t xml:space="preserve"> 0.05. Black arrows represent non-significance, p-value </w:t>
      </w:r>
      <w:r w:rsidR="005C43D8">
        <w:rPr>
          <w:rFonts w:ascii="Cambria" w:hAnsi="Cambria"/>
        </w:rPr>
        <w:t>≥</w:t>
      </w:r>
      <w:r w:rsidR="005C43D8">
        <w:t xml:space="preserve"> 0.05. </w:t>
      </w:r>
      <w:r w:rsidR="001C3BEC">
        <w:t xml:space="preserve">d) </w:t>
      </w:r>
      <w:r w:rsidR="00833DAE">
        <w:t>Ratio</w:t>
      </w:r>
      <w:r w:rsidR="001C3BEC">
        <w:t xml:space="preserve">s of the number of new mutations favored over reversions for each concentration of Cefotetan. We can see that the higher the concentrations of Cefotetan, the </w:t>
      </w:r>
      <w:r w:rsidR="00833DAE">
        <w:t>more new mutations are favored as well as reversions.</w:t>
      </w:r>
      <w:r w:rsidR="00167F25">
        <w:rPr>
          <w:b/>
        </w:rPr>
        <w:br w:type="page"/>
      </w:r>
    </w:p>
    <w:p w14:paraId="7A6CB11E" w14:textId="77777777" w:rsidR="005C43D8" w:rsidRDefault="005C43D8">
      <w:pPr>
        <w:rPr>
          <w:b/>
        </w:rPr>
      </w:pPr>
    </w:p>
    <w:p w14:paraId="4058F034" w14:textId="77777777" w:rsidR="005C43D8" w:rsidRDefault="005C43D8">
      <w:pPr>
        <w:rPr>
          <w:b/>
        </w:rPr>
      </w:pPr>
    </w:p>
    <w:p w14:paraId="62A484AB" w14:textId="77777777" w:rsidR="00380CA3" w:rsidRDefault="00380CA3">
      <w:pPr>
        <w:rPr>
          <w:b/>
        </w:rPr>
      </w:pPr>
    </w:p>
    <w:p w14:paraId="14E143FD" w14:textId="77777777" w:rsidR="00167F25" w:rsidRDefault="00167F25">
      <w:pPr>
        <w:rPr>
          <w:b/>
        </w:rPr>
      </w:pPr>
    </w:p>
    <w:p w14:paraId="7E8A26B3" w14:textId="2D79D15E" w:rsidR="009A03FA" w:rsidRDefault="009A03FA">
      <w:pPr>
        <w:rPr>
          <w:b/>
        </w:rPr>
      </w:pPr>
      <w:r>
        <w:rPr>
          <w:b/>
        </w:rPr>
        <w:t>References:</w:t>
      </w:r>
    </w:p>
    <w:p w14:paraId="14FB90C0" w14:textId="77777777" w:rsidR="009A03FA" w:rsidRDefault="009A03FA" w:rsidP="009A03FA">
      <w:pPr>
        <w:pStyle w:val="ListParagraph"/>
        <w:numPr>
          <w:ilvl w:val="0"/>
          <w:numId w:val="1"/>
        </w:numPr>
        <w:rPr>
          <w:i/>
        </w:rPr>
      </w:pPr>
      <w:r>
        <w:t>Hall, Barry G. Bellingham Research Institute. “</w:t>
      </w:r>
      <w:r w:rsidRPr="009A03FA">
        <w:rPr>
          <w:i/>
        </w:rPr>
        <w:t>GrowthRates: A Program for Measuring Bacterial Growth Rates in the 21</w:t>
      </w:r>
      <w:r w:rsidRPr="009A03FA">
        <w:rPr>
          <w:i/>
          <w:vertAlign w:val="superscript"/>
        </w:rPr>
        <w:t>st</w:t>
      </w:r>
      <w:r w:rsidRPr="009A03FA">
        <w:rPr>
          <w:i/>
        </w:rPr>
        <w:t xml:space="preserve"> Century”. </w:t>
      </w:r>
    </w:p>
    <w:p w14:paraId="05F74F1E" w14:textId="0DEBFB2A" w:rsidR="00271925" w:rsidRDefault="009A03FA" w:rsidP="00271925">
      <w:pPr>
        <w:pStyle w:val="ListParagraph"/>
        <w:numPr>
          <w:ilvl w:val="0"/>
          <w:numId w:val="1"/>
        </w:numPr>
      </w:pPr>
      <w:r>
        <w:t xml:space="preserve">Gaulart </w:t>
      </w:r>
      <w:r w:rsidRPr="009A03FA">
        <w:rPr>
          <w:i/>
        </w:rPr>
        <w:t xml:space="preserve">et. Al. </w:t>
      </w:r>
      <w:r>
        <w:t xml:space="preserve">PloS ONE. </w:t>
      </w:r>
      <w:r w:rsidRPr="009A03FA">
        <w:rPr>
          <w:i/>
        </w:rPr>
        <w:t>“Designing Antibiotic Cycling Strategies by Determining and Understanding Local Adaptive Landscapes”</w:t>
      </w:r>
      <w:r w:rsidR="00833DAE">
        <w:t xml:space="preserve">  2013</w:t>
      </w:r>
    </w:p>
    <w:p w14:paraId="4CC1B7CC" w14:textId="451C4FDA" w:rsidR="00BA77A6" w:rsidRPr="00833DAE" w:rsidRDefault="004938DB" w:rsidP="00BA77A6">
      <w:pPr>
        <w:pStyle w:val="ListParagraph"/>
        <w:numPr>
          <w:ilvl w:val="0"/>
          <w:numId w:val="1"/>
        </w:numPr>
        <w:rPr>
          <w:i/>
        </w:rPr>
      </w:pPr>
      <w:r>
        <w:t>Hughes D, Andersson DI</w:t>
      </w:r>
      <w:r w:rsidR="00BA77A6">
        <w:t xml:space="preserve">. SciVerse ScienceDirect. “Selection of resistance at lethal and non-lethal antibiotic </w:t>
      </w:r>
      <w:r>
        <w:t>concentrations”.SciVerse ScienceDirect 2012</w:t>
      </w:r>
      <w:r w:rsidR="00BA77A6">
        <w:t>.</w:t>
      </w:r>
    </w:p>
    <w:p w14:paraId="4DD560B6" w14:textId="2CFBEB2B" w:rsidR="00833DAE" w:rsidRDefault="004938DB" w:rsidP="00271925">
      <w:pPr>
        <w:pStyle w:val="ListParagraph"/>
        <w:numPr>
          <w:ilvl w:val="0"/>
          <w:numId w:val="1"/>
        </w:numPr>
      </w:pPr>
      <w:r>
        <w:t>Gullberg E, Cao. S, Berg OG, Ilback C, Sandegren L, Hughes D, Andersson Ki: “Selection of resistant bacteria at very low antibiotic concentrations.” PLoS Pathog 2011.</w:t>
      </w:r>
    </w:p>
    <w:p w14:paraId="3630B75E" w14:textId="77777777" w:rsidR="00271925" w:rsidRDefault="00271925" w:rsidP="009A03FA">
      <w:pPr>
        <w:pStyle w:val="ListParagraph"/>
        <w:numPr>
          <w:ilvl w:val="0"/>
          <w:numId w:val="1"/>
        </w:numPr>
      </w:pPr>
    </w:p>
    <w:p w14:paraId="155FF70A" w14:textId="77777777" w:rsidR="009A03FA" w:rsidRDefault="009A03FA" w:rsidP="009A03FA"/>
    <w:p w14:paraId="1D94E7E4" w14:textId="77777777" w:rsidR="009A03FA" w:rsidRPr="009A03FA" w:rsidRDefault="009A03FA" w:rsidP="009A03FA"/>
    <w:p w14:paraId="7490E493" w14:textId="77777777" w:rsidR="009F1188" w:rsidRPr="009F1188" w:rsidRDefault="009F1188">
      <w:pPr>
        <w:rPr>
          <w:b/>
        </w:rPr>
      </w:pPr>
    </w:p>
    <w:sectPr w:rsidR="009F1188" w:rsidRPr="009F1188" w:rsidSect="000878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E6129"/>
    <w:multiLevelType w:val="hybridMultilevel"/>
    <w:tmpl w:val="4F3C0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D1A"/>
    <w:rsid w:val="0003532D"/>
    <w:rsid w:val="00044A78"/>
    <w:rsid w:val="00060F9E"/>
    <w:rsid w:val="0006392C"/>
    <w:rsid w:val="0007656C"/>
    <w:rsid w:val="00087893"/>
    <w:rsid w:val="00107251"/>
    <w:rsid w:val="00167F25"/>
    <w:rsid w:val="001B11CB"/>
    <w:rsid w:val="001C3BEC"/>
    <w:rsid w:val="00221F2B"/>
    <w:rsid w:val="00271925"/>
    <w:rsid w:val="00287D1A"/>
    <w:rsid w:val="002E71A4"/>
    <w:rsid w:val="003165F9"/>
    <w:rsid w:val="00352C96"/>
    <w:rsid w:val="00374041"/>
    <w:rsid w:val="00380148"/>
    <w:rsid w:val="00380CA3"/>
    <w:rsid w:val="003D5BAA"/>
    <w:rsid w:val="00476731"/>
    <w:rsid w:val="004938DB"/>
    <w:rsid w:val="004E3B71"/>
    <w:rsid w:val="004E764D"/>
    <w:rsid w:val="00512F0F"/>
    <w:rsid w:val="00536560"/>
    <w:rsid w:val="00586851"/>
    <w:rsid w:val="005A71B3"/>
    <w:rsid w:val="005C43D8"/>
    <w:rsid w:val="00617F0E"/>
    <w:rsid w:val="006C4E71"/>
    <w:rsid w:val="00815671"/>
    <w:rsid w:val="00833DAE"/>
    <w:rsid w:val="00860F70"/>
    <w:rsid w:val="00971FF3"/>
    <w:rsid w:val="009A03FA"/>
    <w:rsid w:val="009F1188"/>
    <w:rsid w:val="00A159D3"/>
    <w:rsid w:val="00A52D3F"/>
    <w:rsid w:val="00AF0A2D"/>
    <w:rsid w:val="00BA77A6"/>
    <w:rsid w:val="00BB75E0"/>
    <w:rsid w:val="00C006F4"/>
    <w:rsid w:val="00C438EE"/>
    <w:rsid w:val="00CB749C"/>
    <w:rsid w:val="00CB7EF7"/>
    <w:rsid w:val="00CC61FF"/>
    <w:rsid w:val="00D860BE"/>
    <w:rsid w:val="00EE207C"/>
    <w:rsid w:val="00F30B63"/>
    <w:rsid w:val="00F85F2A"/>
    <w:rsid w:val="00FB76BC"/>
    <w:rsid w:val="00FC1C10"/>
    <w:rsid w:val="00FE7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8F7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1188"/>
    <w:rPr>
      <w:color w:val="808080"/>
    </w:rPr>
  </w:style>
  <w:style w:type="paragraph" w:styleId="BalloonText">
    <w:name w:val="Balloon Text"/>
    <w:basedOn w:val="Normal"/>
    <w:link w:val="BalloonTextChar"/>
    <w:uiPriority w:val="99"/>
    <w:semiHidden/>
    <w:unhideWhenUsed/>
    <w:rsid w:val="009F1188"/>
    <w:rPr>
      <w:rFonts w:ascii="Lucida Grande" w:hAnsi="Lucida Grande"/>
      <w:sz w:val="18"/>
      <w:szCs w:val="18"/>
    </w:rPr>
  </w:style>
  <w:style w:type="character" w:customStyle="1" w:styleId="BalloonTextChar">
    <w:name w:val="Balloon Text Char"/>
    <w:basedOn w:val="DefaultParagraphFont"/>
    <w:link w:val="BalloonText"/>
    <w:uiPriority w:val="99"/>
    <w:semiHidden/>
    <w:rsid w:val="009F1188"/>
    <w:rPr>
      <w:rFonts w:ascii="Lucida Grande" w:hAnsi="Lucida Grande"/>
      <w:sz w:val="18"/>
      <w:szCs w:val="18"/>
    </w:rPr>
  </w:style>
  <w:style w:type="paragraph" w:styleId="ListParagraph">
    <w:name w:val="List Paragraph"/>
    <w:basedOn w:val="Normal"/>
    <w:uiPriority w:val="34"/>
    <w:qFormat/>
    <w:rsid w:val="009A03FA"/>
    <w:pPr>
      <w:ind w:left="720"/>
      <w:contextualSpacing/>
    </w:pPr>
  </w:style>
  <w:style w:type="table" w:styleId="TableGrid">
    <w:name w:val="Table Grid"/>
    <w:basedOn w:val="TableNormal"/>
    <w:uiPriority w:val="59"/>
    <w:rsid w:val="00167F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80C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1188"/>
    <w:rPr>
      <w:color w:val="808080"/>
    </w:rPr>
  </w:style>
  <w:style w:type="paragraph" w:styleId="BalloonText">
    <w:name w:val="Balloon Text"/>
    <w:basedOn w:val="Normal"/>
    <w:link w:val="BalloonTextChar"/>
    <w:uiPriority w:val="99"/>
    <w:semiHidden/>
    <w:unhideWhenUsed/>
    <w:rsid w:val="009F1188"/>
    <w:rPr>
      <w:rFonts w:ascii="Lucida Grande" w:hAnsi="Lucida Grande"/>
      <w:sz w:val="18"/>
      <w:szCs w:val="18"/>
    </w:rPr>
  </w:style>
  <w:style w:type="character" w:customStyle="1" w:styleId="BalloonTextChar">
    <w:name w:val="Balloon Text Char"/>
    <w:basedOn w:val="DefaultParagraphFont"/>
    <w:link w:val="BalloonText"/>
    <w:uiPriority w:val="99"/>
    <w:semiHidden/>
    <w:rsid w:val="009F1188"/>
    <w:rPr>
      <w:rFonts w:ascii="Lucida Grande" w:hAnsi="Lucida Grande"/>
      <w:sz w:val="18"/>
      <w:szCs w:val="18"/>
    </w:rPr>
  </w:style>
  <w:style w:type="paragraph" w:styleId="ListParagraph">
    <w:name w:val="List Paragraph"/>
    <w:basedOn w:val="Normal"/>
    <w:uiPriority w:val="34"/>
    <w:qFormat/>
    <w:rsid w:val="009A03FA"/>
    <w:pPr>
      <w:ind w:left="720"/>
      <w:contextualSpacing/>
    </w:pPr>
  </w:style>
  <w:style w:type="table" w:styleId="TableGrid">
    <w:name w:val="Table Grid"/>
    <w:basedOn w:val="TableNormal"/>
    <w:uiPriority w:val="59"/>
    <w:rsid w:val="00167F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80C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1253</Words>
  <Characters>7148</Characters>
  <Application>Microsoft Macintosh Word</Application>
  <DocSecurity>0</DocSecurity>
  <Lines>59</Lines>
  <Paragraphs>16</Paragraphs>
  <ScaleCrop>false</ScaleCrop>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Mira</dc:creator>
  <cp:keywords/>
  <dc:description/>
  <cp:lastModifiedBy>Portia Mira</cp:lastModifiedBy>
  <cp:revision>22</cp:revision>
  <dcterms:created xsi:type="dcterms:W3CDTF">2013-08-02T00:45:00Z</dcterms:created>
  <dcterms:modified xsi:type="dcterms:W3CDTF">2013-08-09T01:23:00Z</dcterms:modified>
</cp:coreProperties>
</file>