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Portada breve</w:t>
      </w:r>
    </w:p>
    <w:p>
      <w:pPr>
        <w:pStyle w:val="Title"/>
      </w:pPr>
      <w:r>
        <w:t>Automatización del proceso de manufactura</w:t>
      </w:r>
    </w:p>
    <w:p>
      <w:pPr>
        <w:pStyle w:val="Subtitle"/>
      </w:pPr>
      <w:r>
        <w:t>Textiles Globales S.A.</w:t>
        <w:br/>
        <w:t>Solución académica · Simulacro de examen, variante U</w:t>
      </w:r>
    </w:p>
    <w:p>
      <w:r>
        <w:t>Universidad Mariano Gálvez de Guatemala · Seminario de Análisis y Diseño de Sistemas</w:t>
      </w:r>
    </w:p>
    <w:p>
      <w:r>
        <w:t>Catedrático: Heriberto Antonio Escobar Menéndez</w:t>
        <w:br/>
        <w:t>Fecha del examen original: 5 de octubre de 2026</w:t>
        <w:br/>
        <w:t>Fecha de elaboración: 8 de octubre de 2026</w:t>
      </w:r>
    </w:p>
    <w:p>
      <w:r>
        <w:t>Estudiante: ____________________</w:t>
        <w:br/>
        <w:t>Carné: ____________________</w:t>
      </w:r>
    </w:p>
    <w:p>
      <w:r>
        <w:t>Fuente primaria: PDF original de dos páginas, conservado sin cambios. El texto recibido precisa la entrega, no reemplaza el enunciado.</w:t>
      </w:r>
    </w:p>
    <w:p>
      <w:r>
        <w:t>Estado: versión final revisada del simulacro académico. No constituye una implementación ni una inversión autorizada.</w:t>
      </w:r>
    </w:p>
    <w:p>
      <w:r>
        <w:t>Lectura: apartados 2–6, análisis y factibilidad; 7–12, seis láminas; 13, conclusiones, evidencia y pendientes. La prosa utiliza Letter; las láminas tienen formato ampliado proporcional para evitar reducir sus etiquetas.</w:t>
      </w:r>
    </w:p>
    <w:p>
      <w:r>
        <w:br w:type="page"/>
      </w:r>
    </w:p>
    <w:p>
      <w:pPr>
        <w:pStyle w:val="Heading1"/>
      </w:pPr>
      <w:r>
        <w:t>2. Caso</w:t>
      </w:r>
    </w:p>
    <w:p>
      <w:r>
        <w:t>Fuente primaria: Simulacro de examen .pdf, pp. 1–2. Leído completo y revisado visualmente. El texto recibido complementa entregables.</w:t>
      </w:r>
    </w:p>
    <w:p>
      <w:pPr>
        <w:pStyle w:val="Heading2"/>
      </w:pPr>
      <w:r>
        <w:t>Problema y objetivo</w:t>
      </w:r>
    </w:p>
    <w:p>
      <w:r>
        <w:t>La gestión mediante papel y controles verbales produce retrasos, pérdida de información y falta de trazabilidad (p. 1). Se propone registrar la manufactura desde habilitación y corte hasta liberación y empaque. Solo producción; no se agregan compras, ventas, RRHH ni inventario comercial.</w:t>
      </w:r>
    </w:p>
    <w:p>
      <w:pPr>
        <w:pStyle w:val="Heading2"/>
      </w:pPr>
      <w:r>
        <w:t>Actores y procesos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"/>
        <w:gridCol w:w="1738"/>
        <w:gridCol w:w="2249"/>
        <w:gridCol w:w="2863"/>
        <w:gridCol w:w="2863"/>
      </w:tblGrid>
      <w:tr>
        <w:trPr>
          <w:tblHeader/>
          <w:cantSplit/>
        </w:trPr>
        <w:tc>
          <w:tcPr>
            <w:tcW w:type="dxa" w:w="5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Proceso</w:t>
            </w:r>
          </w:p>
        </w:tc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Entradas</w:t>
            </w:r>
          </w:p>
        </w:tc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Salidas</w:t>
            </w:r>
          </w:p>
        </w:tc>
      </w:tr>
      <w:tr>
        <w:trPr>
          <w:cantSplit/>
        </w:trPr>
        <w:tc>
          <w:tcPr>
            <w:tcW w:type="dxa" w:w="5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Jefe de Planta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1.0 Gestionar Orden de Producción</w:t>
            </w:r>
          </w:p>
        </w:tc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Orden de Trabajo y datos de tela asignada</w:t>
            </w:r>
          </w:p>
        </w:tc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OT habilitada y resumen de producción</w:t>
            </w:r>
          </w:p>
        </w:tc>
      </w:tr>
      <w:tr>
        <w:trPr>
          <w:cantSplit/>
        </w:trPr>
        <w:tc>
          <w:tcPr>
            <w:tcW w:type="dxa" w:w="5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Operario de Corte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2.0 Gestionar Corte</w:t>
            </w:r>
          </w:p>
        </w:tc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Registro de corte y merma</w:t>
            </w:r>
          </w:p>
        </w:tc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Datos de corte y estado del registro</w:t>
            </w:r>
          </w:p>
        </w:tc>
      </w:tr>
      <w:tr>
        <w:trPr>
          <w:cantSplit/>
        </w:trPr>
        <w:tc>
          <w:tcPr>
            <w:tcW w:type="dxa" w:w="5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Operario de Confección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3.0 Gestionar Confección</w:t>
            </w:r>
          </w:p>
        </w:tc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Registro de avance y tiempo por lote</w:t>
            </w:r>
          </w:p>
        </w:tc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Datos de paquete habilitado y estado de confección</w:t>
            </w:r>
          </w:p>
        </w:tc>
      </w:tr>
      <w:tr>
        <w:trPr>
          <w:cantSplit/>
        </w:trPr>
        <w:tc>
          <w:tcPr>
            <w:tcW w:type="dxa" w:w="5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Inspector de Calidad</w:t>
            </w:r>
          </w:p>
        </w:tc>
        <w:tc>
          <w:tcPr>
            <w:tcW w:type="dxa" w:w="2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4.0 Gestionar Calidad y Empaque</w:t>
            </w:r>
          </w:p>
        </w:tc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Resultado de inspección y defectos</w:t>
            </w:r>
          </w:p>
        </w:tc>
        <w:tc>
          <w:tcPr>
            <w:tcW w:type="dxa" w:w="28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Resumen de calidad y código de lote</w:t>
            </w:r>
          </w:p>
        </w:tc>
      </w:tr>
    </w:tbl>
    <w:p>
      <w:pPr>
        <w:spacing w:after="40"/>
      </w:pPr>
    </w:p>
    <w:p>
      <w:r>
        <w:t>Los participantes y procesos son explícitos (pp. 1–2). Los mensajes de salida de coordinación y confirmación son INFERENCIA funcional para que cada usuario conozca el trabajo y confirme su registro. “Resumen de producción” permite al Jefe consultar los controles; no introduce un actor adicional.</w:t>
      </w:r>
    </w:p>
    <w:p>
      <w:pPr>
        <w:pStyle w:val="Heading2"/>
      </w:pPr>
      <w:r>
        <w:t>Datos y controles explícitos</w:t>
      </w:r>
    </w:p>
    <w:p>
      <w:r>
        <w:t>OT: modelo, cantidad de prendas, color y tallas; metraje asignado frente al estándar teórico. Corte: conteo obligatorio y porcentaje de merma. Confección: avance por paquete terminado y tiempo por lote. Calidad: inspección individual de acabado/costuras/dimensiones; conteo de aprobadas y rechazadas con causa (mancha, rotura, mala costura). Código de lote para empaque después de calidad.</w:t>
      </w:r>
    </w:p>
    <w:p>
      <w:pPr>
        <w:pStyle w:val="Heading2"/>
      </w:pPr>
      <w:r>
        <w:t>Reglas e inferencias</w:t>
      </w:r>
    </w:p>
    <w:p>
      <w:r>
        <w:t>R1: registrar OT y comparación de metraje; sin tolerancia inventada, mostrar diferencia para verificación del Jefe.</w:t>
      </w:r>
    </w:p>
    <w:p>
      <w:r>
        <w:t>R2: contar piezas y cuantificar merma en corte.</w:t>
      </w:r>
    </w:p>
    <w:p>
      <w:r>
        <w:t>R3: registrar paquete terminado y duración por lote.</w:t>
      </w:r>
    </w:p>
    <w:p>
      <w:r>
        <w:t>R4: toda prenda inspeccionada tiene clasificación y las rechazadas tienen causa.</w:t>
      </w:r>
    </w:p>
    <w:p>
      <w:r>
        <w:t>R5: generar código de empaque para prendas aprobadas; mantener rechazadas segregadas y registradas. La liberación exclusiva de aprobadas es INFERENCIA.</w:t>
      </w:r>
    </w:p>
    <w:p>
      <w:r>
        <w:t>R6: ID interno de seguimiento desde OT; código de empaque al liberar. Convención técnica para evitar depender de un código final aún inexistente.</w:t>
      </w:r>
    </w:p>
    <w:p>
      <w:r>
        <w:t>R7: generar un único código de empaque por liberación aprobada y validar unicidad. No inventar una estructura comercial.</w:t>
      </w:r>
    </w:p>
    <w:p>
      <w:r>
        <w:t>R8: no añadir reproceso/descarte sin instrucciones.</w:t>
      </w:r>
    </w:p>
    <w:p>
      <w:pPr>
        <w:pStyle w:val="Heading2"/>
      </w:pPr>
      <w:r>
        <w:t>Almacenes justificados</w:t>
      </w:r>
    </w:p>
    <w:p>
      <w:r>
        <w:t>D1 Órdenes de producción y tela: conserva OT, estándar, metraje e ID interno.</w:t>
      </w:r>
    </w:p>
    <w:p>
      <w:r>
        <w:t>D2 Registros de corte: conserva piezas, merma, paquete e ID de OT.</w:t>
      </w:r>
    </w:p>
    <w:p>
      <w:r>
        <w:t>D3 Avances de confección: conserva avance por paquete y duración por lote.</w:t>
      </w:r>
    </w:p>
    <w:p>
      <w:r>
        <w:t>D4 Inspecciones y lotes liberados: conserva criterios, clasificación, defecto y código de empaque. Se unifican calidad y salida final sin un almacén duplicado.</w:t>
      </w:r>
    </w:p>
    <w:p>
      <w:r>
        <w:t>Almacenes son modelado técnico derivado de los datos explícitos. P4 actualiza D4; P1 lee D4 mediante «Resumen de calidad y lote liberado» para elaborar F02, además de consultar D1. Se elimina la transferencia directa P4→P1. La segunda representación de D4 junto a P1 es el mismo almacén lógico, no un quinto almacén ni una copia física.</w:t>
      </w:r>
    </w:p>
    <w:p>
      <w:pPr>
        <w:pStyle w:val="Heading2"/>
      </w:pPr>
      <w:r>
        <w:t>Flujos externos balanceados</w:t>
      </w:r>
    </w:p>
    <w:p>
      <w:r>
        <w:t>F01 Jefe → sistema: Orden de Trabajo y datos de tela asignada.</w:t>
      </w:r>
    </w:p>
    <w:p>
      <w:r>
        <w:t>F02 sistema → Jefe: OT habilitada y resumen de producción.</w:t>
      </w:r>
    </w:p>
    <w:p>
      <w:r>
        <w:t>F03 Corte → sistema: Registro de corte y merma.</w:t>
      </w:r>
    </w:p>
    <w:p>
      <w:r>
        <w:t>F04 sistema → Corte: Datos de corte y estado del registro.</w:t>
      </w:r>
    </w:p>
    <w:p>
      <w:r>
        <w:t>F05 Confección → sistema: Registro de avance y tiempo por lote.</w:t>
      </w:r>
    </w:p>
    <w:p>
      <w:r>
        <w:t>F06 sistema → Confección: Datos de paquete habilitado y estado de confección.</w:t>
      </w:r>
    </w:p>
    <w:p>
      <w:r>
        <w:t>F07 Inspector → sistema: Resultado de inspección y defectos.</w:t>
      </w:r>
    </w:p>
    <w:p>
      <w:r>
        <w:t>F08 sistema → Inspector: Resumen de calidad y código de lote.</w:t>
      </w:r>
    </w:p>
    <w:p>
      <w:r>
        <w:t>Los dos DFD conservan exactamente estos ocho intercambios; las actividades físicas se describen en el análisis, no como flujos de datos.</w:t>
      </w:r>
    </w:p>
    <w:p>
      <w:pPr>
        <w:pStyle w:val="Heading2"/>
      </w:pPr>
      <w:r>
        <w:t>Casos de uso</w:t>
      </w:r>
    </w:p>
    <w:p>
      <w:r>
        <w:t>Crear OT y habilitar tela incluye Verificar metraje.</w:t>
      </w:r>
    </w:p>
    <w:p>
      <w:r>
        <w:t>Registrar corte incluye Registrar conteo y merma.</w:t>
      </w:r>
    </w:p>
    <w:p>
      <w:r>
        <w:t>Registrar confección incluye Registrar avance y tiempo.</w:t>
      </w:r>
    </w:p>
    <w:p>
      <w:r>
        <w:t>Registrar inspección incluye Clasificar y contar prendas.</w:t>
      </w:r>
    </w:p>
    <w:p>
      <w:r>
        <w:t>Registrar causa de rechazo extiende Registrar inspección cuando [prenda rechazada].</w:t>
      </w:r>
    </w:p>
    <w:p>
      <w:r>
        <w:t>Liberar aprobadas para empaque incluye Generar código de lote. Precondición: existen prendas aprobadas. El Inspector registra la liberación y obtiene el código; no se le atribuye la ejecución del empaque físico. Se mantiene el nombre de P4, Gestionar Calidad y Empaque, como gestión de datos de calidad, liberación y lote.</w:t>
      </w:r>
    </w:p>
    <w:p>
      <w:r>
        <w:t>La relación extend apunta al caso base; include apunta al comportamiento incluido. Los nombres plurales del PDF se normalizan a UML estándar conforme al encargo.</w:t>
      </w:r>
    </w:p>
    <w:p>
      <w:pPr>
        <w:pStyle w:val="Heading2"/>
      </w:pPr>
      <w:r>
        <w:t>Escenario de interacción</w:t>
      </w:r>
    </w:p>
    <w:p>
      <w:r>
        <w:t>Cuatro actores, Sistema de Gestión de Manufactura y Persistencia. OT → corte → confección → inspección individual → alternativa aprobada/rechazada → liberación y código de empaque. Secuencia y colaboración reutilizan los mismos 20 mensajes numerados, incluyendo respuestas de persistencia y guardas. Los mensajes 1–19 se mantienen. El 18 corresponde a Liberar aprobadas para empaque; el 20 es «Código de lote y confirmación de liberación»: confirma el registro de liberación, no un empaque físico realizado. En colaboración, llamadas abreviadas numeradas sobre enlaces conservan emisores, receptores y guardas; la tabla inferior conserva los 20 contenidos completos.</w:t>
      </w:r>
    </w:p>
    <w:p>
      <w:pPr>
        <w:pStyle w:val="Heading2"/>
      </w:pPr>
      <w:r>
        <w:t>Fórmulas propuestas</w:t>
      </w:r>
    </w:p>
    <w:p>
      <w:r>
        <w:t>Diferencia de tela = metraje asignado - estándar teórico (metros).</w:t>
      </w:r>
    </w:p>
    <w:p>
      <w:r>
        <w:t>Merma propuesta = metros desperdiciados / metros utilizados en corte × 100. Denominador y unidad deben aprobarse; no se resta un conteo de piezas de un metraje.</w:t>
      </w:r>
    </w:p>
    <w:p>
      <w:r>
        <w:t>Duración = fin - inicio del lote, en minutos; tiempos por paquete se agregan sin duplicar intervalos paralelos.</w:t>
      </w:r>
    </w:p>
    <w:p>
      <w:r>
        <w:t>Conteo inspeccionado = aprobadas + rechazadas. Cantidad fabricada y piezas cortadas no son equivalentes sin la composición del modelo.</w:t>
      </w:r>
    </w:p>
    <w:p>
      <w:pPr>
        <w:pStyle w:val="Heading2"/>
      </w:pPr>
      <w:r>
        <w:t>Justificación tecnológica previa al stack</w:t>
      </w:r>
    </w:p>
    <w:p>
      <w:r>
        <w:t>Interfaz web con HTML/CSS adaptable y JavaScript mínimo; colores con texto e iconos para evitar depender solo del color. Aplicación monolítica Django que sirve interfaz y API en un servicio administrado; PostgreSQL central, respaldo separado y monitoreo. No se requiere microservicios ni SPA independiente. El diagrama separa responsabilidades frontend/backend, no dos despliegues. Las zonas Planta, Perímetro y Nube agrupan dispositivos/red, router-firewall/Internet y servicio/datos/respaldo respectivamente. HTTPS etiqueta el enlace hacia el servicio, no un componente. Nube condicionada a conectividad y energía verificadas; RPO 24 h y RTO 8 h siguen siendo objetivos propuestos, no garantías.</w:t>
      </w:r>
    </w:p>
    <w:p>
      <w:pPr>
        <w:pStyle w:val="Heading1"/>
      </w:pPr>
      <w:r>
        <w:t>3. Factibilidad operativa</w:t>
      </w:r>
    </w:p>
    <w:p>
      <w:r>
        <w:t>Fuente del perfil: PDF p. 2. Corte, confección e inspección tienen conocimiento informático bajo o nulo. El nivel del Jefe debe diagnosticarse; no se conoce cantidad de empleados.</w:t>
      </w:r>
    </w:p>
    <w:p>
      <w:pPr>
        <w:pStyle w:val="Heading2"/>
      </w:pPr>
      <w:r>
        <w:t>Adaptación y resistencia</w:t>
      </w:r>
    </w:p>
    <w:p>
      <w:r>
        <w:t>El cambio sustituye formularios conocidos y puede percibirse como vigilancia del rendimiento. Presentar el sistema como apoyo a trazabilidad y medición del proceso, explicar quién ve los datos y permitir practicar sin afectar producción. No asumir resistencia comprobada: son riesgos a gestionar. El Jefe valida reglas y guía el piloto con los cuatro roles.</w:t>
      </w:r>
    </w:p>
    <w:p>
      <w:pPr>
        <w:pStyle w:val="Heading2"/>
      </w:pPr>
      <w:r>
        <w:t>Perfiles y capacitación recomendada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1"/>
        <w:gridCol w:w="1941"/>
        <w:gridCol w:w="3235"/>
        <w:gridCol w:w="3106"/>
      </w:tblGrid>
      <w:tr>
        <w:trPr>
          <w:tblHeader/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Grupo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Nivel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Sesiones por grupo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Contenido y estrategia</w:t>
            </w:r>
          </w:p>
        </w:tc>
      </w:tr>
      <w:tr>
        <w:trPr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Jefe de Planta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POR EVALUAR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2 de 2 h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OT y metraje; consulta de controles y apoyo a usuarios</w:t>
            </w:r>
          </w:p>
        </w:tc>
      </w:tr>
      <w:tr>
        <w:trPr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Corte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Bajo/nulo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3 de 2 h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Uso básico y lectura; registro de piezas/merma; práctica supervisada</w:t>
            </w:r>
          </w:p>
        </w:tc>
      </w:tr>
      <w:tr>
        <w:trPr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Confección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Bajo/nulo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3 de 2 h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Selección de paquete; avance/tiempos; práctica y corrección</w:t>
            </w:r>
          </w:p>
        </w:tc>
      </w:tr>
      <w:tr>
        <w:trPr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Calidad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Bajo/nulo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3 de 2 h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Inspección/clasificación; causas y conteos; etiqueta y liberación</w:t>
            </w:r>
          </w:p>
        </w:tc>
      </w:tr>
    </w:tbl>
    <w:p>
      <w:pPr>
        <w:spacing w:after="40"/>
      </w:pPr>
    </w:p>
    <w:p>
      <w:r>
        <w:t>Propuesta: 11 sesiones de 2 horas = 22 horas de facilitación para una cohorte de cada rol. No representa 11 empleados. Si hay varios turnos/cohortes, repetir sesiones por cohorte. Horas de asistencia de empleados requieren número real de participantes. Evaluar mediante completar OT, corte, avance o inspección sin ayuda; repetir práctica si hay errores, sin inventar porcentajes de dominio.</w:t>
      </w:r>
    </w:p>
    <w:p>
      <w:pPr>
        <w:pStyle w:val="Heading2"/>
      </w:pPr>
      <w:r>
        <w:t>Usabilidad</w:t>
      </w:r>
    </w:p>
    <w:p>
      <w:r>
        <w:t>Una pantalla por tarea; selección de OT/paquete por lectura de código o lista grande. Botones amplios Aprobar/Rechazar y Confirmar; color acompañado de etiqueta e icono. Teclado numérico para cantidades; catálogo Mancha/Rotura/Mala costura; opción Otro con descripción breve cuando sea imprescindible. Mostrar unidad y rango; permitir revisar antes de guardar. Evitar texto libre y navegación compleja; comunicar claramente guardado exitoso o error de conexión para no duplicar captura.</w:t>
      </w:r>
    </w:p>
    <w:p>
      <w:pPr>
        <w:pStyle w:val="Heading2"/>
      </w:pPr>
      <w:r>
        <w:t>Adopción</w:t>
      </w:r>
    </w:p>
    <w:p>
      <w:r>
        <w:t>Diagnóstico inicial, práctica con registros de prueba, piloto en un flujo completo, conciliación contra papel, corrección de problemas y despliegue por estaciones/turnos. El soporte técnico es un servicio de apoyo, no un actor añadido al flujo de manufactura.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Riesgo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Mitigación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Miedo al error o vigilancia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Explicar uso, permitir práctica y supervisión del Jefe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Errores de conteo o unidad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Teclado numérico, unidades visibles, confirmación y controles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Doble registro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ID único e idempotencia; respuesta visible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Pérdida de conectividad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Formato de contingencia numerado y conciliación posterior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Dispositivo difícil de usar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Prueba con guantes, limpieza y condiciones reales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Abandono tras capacitación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Acompañamiento por turno y seguimiento de incidencias</w:t>
            </w:r>
          </w:p>
        </w:tc>
      </w:tr>
    </w:tbl>
    <w:p>
      <w:pPr>
        <w:spacing w:after="40"/>
      </w:pPr>
    </w:p>
    <w:p>
      <w:r>
        <w:t>Conclusión: operativamente viable de forma condicionada a interfaz probada por los usuarios, capacitación práctica y soporte de adopción. No se afirma aceptación sin piloto.</w:t>
      </w:r>
    </w:p>
    <w:p>
      <w:pPr>
        <w:pStyle w:val="Heading1"/>
      </w:pPr>
      <w:r>
        <w:t>4. Factibilidad técnica</w:t>
      </w:r>
    </w:p>
    <w:p>
      <w:r>
        <w:t>PDF p. 2: no hay equipos, servidores, móviles, lectores ni cableado. La propuesta debe incorporar la infraestructura necesaria desde cero.</w:t>
      </w:r>
    </w:p>
    <w:p>
      <w:pPr>
        <w:pStyle w:val="Heading2"/>
      </w:pPr>
      <w:r>
        <w:t>Alternativas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85"/>
        <w:gridCol w:w="2272"/>
        <w:gridCol w:w="6167"/>
      </w:tblGrid>
      <w:tr>
        <w:trPr>
          <w:tblHeader/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Aspecto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Local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Nube administrada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Disponibilidad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Depende de servidor, energía y redundancia local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Depende de servicio, energía de planta e Internet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Mantenimiento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Planta/contratista administra SO, BD, hardware y parches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Proveedor mantiene plataforma; aplicación requiere soporte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Escalabilidad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Comprar/ampliar equipo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Ajustar capacidad contratada según demanda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Costo operativo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Energía, soporte, respaldo y renovación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Suscripción, Internet y soporte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Internet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Operación local puede seguir sin WAN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Necesario para captura central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Respaldo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Copia externa y pruebas a cargo de administración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Automatización contratada y copia separada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Administración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Mayor carga técnica local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Menor carga de infraestructura, aún requiere gestión</w:t>
            </w:r>
          </w:p>
        </w:tc>
      </w:tr>
    </w:tbl>
    <w:p>
      <w:pPr>
        <w:spacing w:after="40"/>
      </w:pPr>
    </w:p>
    <w:p>
      <w:r>
        <w:t>Recomendación: nube administrada, condicionada a conexión estable y contingencia. Reduce administración local para una planta sin recursos informáticos. Si Internet no cumple pruebas de operación, reconsiderar servidor local; no afirmar captura offline automática.</w:t>
      </w:r>
    </w:p>
    <w:p>
      <w:pPr>
        <w:pStyle w:val="Heading2"/>
      </w:pPr>
      <w:r>
        <w:t>Recursos mínimos propuestos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66"/>
        <w:gridCol w:w="2324"/>
        <w:gridCol w:w="2324"/>
        <w:gridCol w:w="1673"/>
        <w:gridCol w:w="2138"/>
      </w:tblGrid>
      <w:tr>
        <w:trPr>
          <w:tblHeader/>
          <w:cantSplit/>
        </w:trPr>
        <w:tc>
          <w:tcPr>
            <w:tcW w:type="dxa" w:w="17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Recurso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Especificación mínima propuesta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Cantidad lógica</w:t>
            </w:r>
          </w:p>
        </w:tc>
        <w:tc>
          <w:tcPr>
            <w:tcW w:type="dxa" w:w="16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Uso</w:t>
            </w:r>
          </w:p>
        </w:tc>
        <w:tc>
          <w:tcPr>
            <w:tcW w:type="dxa" w:w="21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Justificación</w:t>
            </w:r>
          </w:p>
        </w:tc>
      </w:tr>
      <w:tr>
        <w:trPr>
          <w:cantSplit/>
        </w:trPr>
        <w:tc>
          <w:tcPr>
            <w:tcW w:type="dxa" w:w="17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Cableado y switch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Cat 6; switch Gigabit con PoE si AP lo requiere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POR DEFINIR SEGÚN PUESTOS DE TRABAJO</w:t>
            </w:r>
          </w:p>
        </w:tc>
        <w:tc>
          <w:tcPr>
            <w:tcW w:type="dxa" w:w="16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Equipos fijos y AP</w:t>
            </w:r>
          </w:p>
        </w:tc>
        <w:tc>
          <w:tcPr>
            <w:tcW w:type="dxa" w:w="21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Estabilidad de enlaces</w:t>
            </w:r>
          </w:p>
        </w:tc>
      </w:tr>
      <w:tr>
        <w:trPr>
          <w:cantSplit/>
        </w:trPr>
        <w:tc>
          <w:tcPr>
            <w:tcW w:type="dxa" w:w="17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Wi-Fi industrial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AP de doble banda, montaje protegido, segmentación y estudio de cobertura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POR DEFINIR SEGÚN PUESTOS DE TRABAJO</w:t>
            </w:r>
          </w:p>
        </w:tc>
        <w:tc>
          <w:tcPr>
            <w:tcW w:type="dxa" w:w="16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Dispositivos móviles</w:t>
            </w:r>
          </w:p>
        </w:tc>
        <w:tc>
          <w:tcPr>
            <w:tcW w:type="dxa" w:w="21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Movilidad; validar polvo/interferencia</w:t>
            </w:r>
          </w:p>
        </w:tc>
      </w:tr>
      <w:tr>
        <w:trPr>
          <w:cantSplit/>
        </w:trPr>
        <w:tc>
          <w:tcPr>
            <w:tcW w:type="dxa" w:w="17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Terminal de uso rudo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Pantalla táctil legible con guantes, protección según ambiente, navegador vigente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POR DEFINIR SEGÚN PUESTOS DE TRABAJO</w:t>
            </w:r>
          </w:p>
        </w:tc>
        <w:tc>
          <w:tcPr>
            <w:tcW w:type="dxa" w:w="16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Estación fija</w:t>
            </w:r>
          </w:p>
        </w:tc>
        <w:tc>
          <w:tcPr>
            <w:tcW w:type="dxa" w:w="21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Alternativa a tableta, no compra duplicada</w:t>
            </w:r>
          </w:p>
        </w:tc>
      </w:tr>
      <w:tr>
        <w:trPr>
          <w:cantSplit/>
        </w:trPr>
        <w:tc>
          <w:tcPr>
            <w:tcW w:type="dxa" w:w="17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Tableta protegida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Pantalla 10 pulgadas, 4 GB RAM, batería para turno o base de carga, carcasa protectora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POR DEFINIR SEGÚN PUESTOS DE TRABAJO</w:t>
            </w:r>
          </w:p>
        </w:tc>
        <w:tc>
          <w:tcPr>
            <w:tcW w:type="dxa" w:w="16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Corte/confección/calidad</w:t>
            </w:r>
          </w:p>
        </w:tc>
        <w:tc>
          <w:tcPr>
            <w:tcW w:type="dxa" w:w="21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Interfaz sencilla cerca del proceso</w:t>
            </w:r>
          </w:p>
        </w:tc>
      </w:tr>
      <w:tr>
        <w:trPr>
          <w:cantSplit/>
        </w:trPr>
        <w:tc>
          <w:tcPr>
            <w:tcW w:type="dxa" w:w="17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Lector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USB/Bluetooth, códigos 1D y texto legible alternativo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POR DEFINIR SEGÚN PUESTOS DE TRABAJO</w:t>
            </w:r>
          </w:p>
        </w:tc>
        <w:tc>
          <w:tcPr>
            <w:tcW w:type="dxa" w:w="16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Selección rápida de OT/paquete</w:t>
            </w:r>
          </w:p>
        </w:tc>
        <w:tc>
          <w:tcPr>
            <w:tcW w:type="dxa" w:w="21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Evita tecleo de identificadores</w:t>
            </w:r>
          </w:p>
        </w:tc>
      </w:tr>
      <w:tr>
        <w:trPr>
          <w:cantSplit/>
        </w:trPr>
        <w:tc>
          <w:tcPr>
            <w:tcW w:type="dxa" w:w="17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Impresora de etiquetas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Transferencia térmica compatible con etiqueta y lector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POR DEFINIR SEGÚN PUESTOS DE TRABAJO</w:t>
            </w:r>
          </w:p>
        </w:tc>
        <w:tc>
          <w:tcPr>
            <w:tcW w:type="dxa" w:w="16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Código de empaque</w:t>
            </w:r>
          </w:p>
        </w:tc>
        <w:tc>
          <w:tcPr>
            <w:tcW w:type="dxa" w:w="21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Propuesta necesaria para identificación física</w:t>
            </w:r>
          </w:p>
        </w:tc>
      </w:tr>
      <w:tr>
        <w:trPr>
          <w:cantSplit/>
        </w:trPr>
        <w:tc>
          <w:tcPr>
            <w:tcW w:type="dxa" w:w="17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Equipo administrativo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8 GB RAM, SSD, monitor y navegador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POR DEFINIR SEGÚN PUESTOS DE TRABAJO</w:t>
            </w:r>
          </w:p>
        </w:tc>
        <w:tc>
          <w:tcPr>
            <w:tcW w:type="dxa" w:w="16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Jefe de Planta</w:t>
            </w:r>
          </w:p>
        </w:tc>
        <w:tc>
          <w:tcPr>
            <w:tcW w:type="dxa" w:w="21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OT y consulta</w:t>
            </w:r>
          </w:p>
        </w:tc>
      </w:tr>
      <w:tr>
        <w:trPr>
          <w:cantSplit/>
        </w:trPr>
        <w:tc>
          <w:tcPr>
            <w:tcW w:type="dxa" w:w="17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Internet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Enlace empresarial, dimensionado por concurrencia; evaluar enlace de contingencia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Un servicio principal por planta; secundario por evaluación</w:t>
            </w:r>
          </w:p>
        </w:tc>
        <w:tc>
          <w:tcPr>
            <w:tcW w:type="dxa" w:w="16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Acceso nube</w:t>
            </w:r>
          </w:p>
        </w:tc>
        <w:tc>
          <w:tcPr>
            <w:tcW w:type="dxa" w:w="21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Captura centralizada</w:t>
            </w:r>
          </w:p>
        </w:tc>
      </w:tr>
      <w:tr>
        <w:trPr>
          <w:cantSplit/>
        </w:trPr>
        <w:tc>
          <w:tcPr>
            <w:tcW w:type="dxa" w:w="17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Router/firewall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VLAN, control de acceso, VPN administrativa y doble WAN si procede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Un punto lógico de salida por planta</w:t>
            </w:r>
          </w:p>
        </w:tc>
        <w:tc>
          <w:tcPr>
            <w:tcW w:type="dxa" w:w="16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Seguridad/perímetro</w:t>
            </w:r>
          </w:p>
        </w:tc>
        <w:tc>
          <w:tcPr>
            <w:tcW w:type="dxa" w:w="21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Separar red operativa</w:t>
            </w:r>
          </w:p>
        </w:tc>
      </w:tr>
      <w:tr>
        <w:trPr>
          <w:cantSplit/>
        </w:trPr>
        <w:tc>
          <w:tcPr>
            <w:tcW w:type="dxa" w:w="17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UPS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Autonomía según carga medida, cierre seguro y protección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POR DEFINIR SEGÚN PUESTOS DE TRABAJO</w:t>
            </w:r>
          </w:p>
        </w:tc>
        <w:tc>
          <w:tcPr>
            <w:tcW w:type="dxa" w:w="16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Router/AP/equipos críticos</w:t>
            </w:r>
          </w:p>
        </w:tc>
        <w:tc>
          <w:tcPr>
            <w:tcW w:type="dxa" w:w="21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Contingencia eléctrica</w:t>
            </w:r>
          </w:p>
        </w:tc>
      </w:tr>
      <w:tr>
        <w:trPr>
          <w:cantSplit/>
        </w:trPr>
        <w:tc>
          <w:tcPr>
            <w:tcW w:type="dxa" w:w="17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Servicio aplicación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Servicio administrado HTTPS, despliegue y monitoreo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Un servicio lógico inicial</w:t>
            </w:r>
          </w:p>
        </w:tc>
        <w:tc>
          <w:tcPr>
            <w:tcW w:type="dxa" w:w="16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Aplicación Django</w:t>
            </w:r>
          </w:p>
        </w:tc>
        <w:tc>
          <w:tcPr>
            <w:tcW w:type="dxa" w:w="21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Mantenimiento sencillo</w:t>
            </w:r>
          </w:p>
        </w:tc>
      </w:tr>
      <w:tr>
        <w:trPr>
          <w:cantSplit/>
        </w:trPr>
        <w:tc>
          <w:tcPr>
            <w:tcW w:type="dxa" w:w="17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Base de datos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PostgreSQL administrado, acceso privado, respaldo automático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Una BD lógica</w:t>
            </w:r>
          </w:p>
        </w:tc>
        <w:tc>
          <w:tcPr>
            <w:tcW w:type="dxa" w:w="16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Trazabilidad</w:t>
            </w:r>
          </w:p>
        </w:tc>
        <w:tc>
          <w:tcPr>
            <w:tcW w:type="dxa" w:w="21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Integridad y concurrencia</w:t>
            </w:r>
          </w:p>
        </w:tc>
      </w:tr>
      <w:tr>
        <w:trPr>
          <w:cantSplit/>
        </w:trPr>
        <w:tc>
          <w:tcPr>
            <w:tcW w:type="dxa" w:w="17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Respaldo/monitoreo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Copia separada cifrada; alertas y prueba de recuperación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Un servicio lógico con retención definida</w:t>
            </w:r>
          </w:p>
        </w:tc>
        <w:tc>
          <w:tcPr>
            <w:tcW w:type="dxa" w:w="16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Continuidad</w:t>
            </w:r>
          </w:p>
        </w:tc>
        <w:tc>
          <w:tcPr>
            <w:tcW w:type="dxa" w:w="21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Objetivo RPO 24 h, RTO 8 h por validar</w:t>
            </w:r>
          </w:p>
        </w:tc>
      </w:tr>
    </w:tbl>
    <w:p>
      <w:pPr>
        <w:spacing w:after="40"/>
      </w:pPr>
    </w:p>
    <w:p>
      <w:r>
        <w:t>Protección del equipo se selecciona tras medir polvo, golpes y líquidos; no atribuir a toda planta una certificación obligatoria. Comprar terminal o tableta por estación según piloto. No se fija número de AP ni ancho de banda sin planos/concurrencia.</w:t>
      </w:r>
    </w:p>
    <w:p>
      <w:pPr>
        <w:pStyle w:val="Heading2"/>
      </w:pPr>
      <w:r>
        <w:t>Arquitectura y seguridad</w:t>
      </w:r>
    </w:p>
    <w:p>
      <w:r>
        <w:t>Navegador HTML/CSS/JavaScript mínimo; Django sirve interfaz y API con autenticación por rol; PostgreSQL privado. HTTPS, respaldos separados, logs sin contraseñas y control de acceso. Monolito modular en vez de microservicios. Copias diarias y recuperación probada; disponibilidad/RPO/RTO son objetivos de diseño, no garantías.</w:t>
      </w:r>
    </w:p>
    <w:p>
      <w:r>
        <w:t>Conclusión: técnicamente viable de forma condicionada a adquirir recursos, verificar red/energía, dimensionar carga y contratar soporte. El código de barras apoya trazabilidad; no determina por sí solo una arquitectura.</w:t>
      </w:r>
    </w:p>
    <w:p>
      <w:pPr>
        <w:pStyle w:val="Heading1"/>
      </w:pPr>
      <w:r>
        <w:t>5. Factibilidad económica</w:t>
      </w:r>
    </w:p>
    <w:p>
      <w:r>
        <w:t>El PDF p. 2 permite adquirir equipos y servicios si la inversión se justifica. No proporciona precios, empleados, volumen, salarios, costos de tela ni tasas de merma. Este modelo usa variables de cotización; no son precios del examen ni cotizaciones de mercado.</w:t>
      </w:r>
    </w:p>
    <w:p>
      <w:r>
        <w:t>Moneda: POR DEFINIR. Horizonte comparativo: primer año (supuesto académico). q indica unidades realmente aprobadas y p precio unitario cotizado. No se inventa una estación por empleado.</w:t>
      </w:r>
    </w:p>
    <w:p>
      <w:pPr>
        <w:pStyle w:val="Heading2"/>
      </w:pPr>
      <w:r>
        <w:t>A Hardware e infraestructura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1"/>
        <w:gridCol w:w="1941"/>
        <w:gridCol w:w="3235"/>
        <w:gridCol w:w="3106"/>
      </w:tblGrid>
      <w:tr>
        <w:trPr>
          <w:tblHeader/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Cantidad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Precio de referencia a obtener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Subtotal</w:t>
            </w:r>
          </w:p>
        </w:tc>
      </w:tr>
      <w:tr>
        <w:trPr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Tabletas protegidas o terminales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q_dispositivos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p_dispositivo según alternativa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q_dispositivos × p_dispositivo</w:t>
            </w:r>
          </w:p>
        </w:tc>
      </w:tr>
      <w:tr>
        <w:trPr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Equipos administrativos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q_admin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p_admin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q_admin × p_admin</w:t>
            </w:r>
          </w:p>
        </w:tc>
      </w:tr>
      <w:tr>
        <w:trPr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Lectores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q_lectores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p_lector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q_lectores × p_lector</w:t>
            </w:r>
          </w:p>
        </w:tc>
      </w:tr>
      <w:tr>
        <w:trPr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Impresoras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q_impresoras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p_impresora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q_impresoras × p_impresora</w:t>
            </w:r>
          </w:p>
        </w:tc>
      </w:tr>
      <w:tr>
        <w:trPr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AP, switch y cableado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q_AP y puntos medidos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p_AP, p_switch y costo_cableado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q_AP × p_AP + costo_switch + costo_cableado</w:t>
            </w:r>
          </w:p>
        </w:tc>
      </w:tr>
      <w:tr>
        <w:trPr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Router y UPS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cantidades según diseño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cotización por carga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costo_router + costo_UPS</w:t>
            </w:r>
          </w:p>
        </w:tc>
      </w:tr>
    </w:tbl>
    <w:p>
      <w:pPr>
        <w:spacing w:after="40"/>
      </w:pPr>
    </w:p>
    <w:p>
      <w:r>
        <w:t>H = suma de subtotales. Etiquetas/consumibles recurrentes van en D. Cantidades pendientes de puestos reales.</w:t>
      </w:r>
    </w:p>
    <w:p>
      <w:pPr>
        <w:pStyle w:val="Heading2"/>
      </w:pPr>
      <w:r>
        <w:t>B Servicios y software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85"/>
        <w:gridCol w:w="2272"/>
        <w:gridCol w:w="6167"/>
      </w:tblGrid>
      <w:tr>
        <w:trPr>
          <w:tblHeader/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Inversión inicial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Costo anual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Configuración de aplicación y BD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c_configuracion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No duplicar implementación en C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Aplicación administrada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c_alta_app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12 × mensual_app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PostgreSQL administrado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c_alta_BD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12 × mensual_BD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Respaldo y monitoreo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c_alta_respaldo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12 × mensual_respaldo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Dominio/certificado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c_alta_dominio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anual_dominio y costo_certificado si procede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Licencias del stack abierto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Verificar condiciones de distribución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No implica hosting o soporte gratuito</w:t>
            </w:r>
          </w:p>
        </w:tc>
      </w:tr>
    </w:tbl>
    <w:p>
      <w:pPr>
        <w:spacing w:after="40"/>
      </w:pPr>
    </w:p>
    <w:p>
      <w:r>
        <w:t>B0 = altas/configuración; B_anual = suscripciones. Django/PostgreSQL son elección técnica; no se imputa ficticiamente una licencia comercial.</w:t>
      </w:r>
    </w:p>
    <w:p>
      <w:pPr>
        <w:pStyle w:val="Heading2"/>
      </w:pPr>
      <w:r>
        <w:t>C Capacitación e implementación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85"/>
        <w:gridCol w:w="2272"/>
        <w:gridCol w:w="6167"/>
      </w:tblGrid>
      <w:tr>
        <w:trPr>
          <w:tblHeader/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Base de cálculo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Subtotal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Jefe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2 sesiones × 2 h × cohortes_Jefe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4 × cohortes_Jefe × tarifa_facilitador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Corte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3 sesiones × 2 h × cohortes_Corte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6 × cohortes_Corte × tarifa_facilitador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Confección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3 sesiones × 2 h × cohortes_Confeccion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6 × cohortes_Confeccion × tarifa_facilitador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Calidad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3 sesiones × 2 h × cohortes_Calidad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6 × cohortes_Calidad × tarifa_facilitador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Tiempo de asistentes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Horas reales × participantes reales × costo_hora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POR DEFINIR; no duplicar costo facilitador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Análisis, configuración funcional, desarrollo, pruebas y puesta en marcha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horas_por_fase × tarifa_por_fase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Suma cotizada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Instalación física</w:t>
            </w:r>
          </w:p>
        </w:tc>
        <w:tc>
          <w:tcPr>
            <w:tcW w:type="dxa" w:w="2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Cotización de contratista</w:t>
            </w:r>
          </w:p>
        </w:tc>
        <w:tc>
          <w:tcPr>
            <w:tcW w:type="dxa" w:w="61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No duplicar cableado incluido en H</w:t>
            </w:r>
          </w:p>
        </w:tc>
      </w:tr>
    </w:tbl>
    <w:p>
      <w:pPr>
        <w:spacing w:after="40"/>
      </w:pPr>
    </w:p>
    <w:p>
      <w:r>
        <w:t>C0 = facilitación + oportunidad del personal + implementación + instalación no incluida. Una cohorte por rol supone 22 horas de facilitación; no establece cantidad de trabajadores.</w:t>
      </w:r>
    </w:p>
    <w:p>
      <w:pPr>
        <w:pStyle w:val="Heading2"/>
      </w:pPr>
      <w:r>
        <w:t>D Costos operativos anuales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Fórmula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Servicios B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B_anual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Internet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12 × mensual_internet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Mantenimiento aplicación/equipos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contrato_anual_mantenimiento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Electricidad incremental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kWh_medidos × tarifa_kWh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Etiquetas y consumibles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unidades_reales × costo_unitario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Refuerzos de capacitación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horas_refuerzo × tarifa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Reserva para reparación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supuesto aprobado por finanzas</w:t>
            </w:r>
          </w:p>
        </w:tc>
      </w:tr>
    </w:tbl>
    <w:p>
      <w:pPr>
        <w:spacing w:after="40"/>
      </w:pPr>
    </w:p>
    <w:p>
      <w:r>
        <w:t>O_anual = suma de D, incluyendo B_anual una sola vez.</w:t>
      </w:r>
    </w:p>
    <w:p>
      <w:r>
        <w:t>Inversion_inicial I = H + B0 + C0.</w:t>
      </w:r>
    </w:p>
    <w:p>
      <w:r>
        <w:t>Costo_total_primer_año = I + O_anual.</w:t>
      </w:r>
    </w:p>
    <w:p>
      <w:r>
        <w:t>Para comparar local/nube, mantener iguales estaciones, capacitación y funciones; variar servidor, servicios, energía, respaldo y administración.</w:t>
      </w:r>
    </w:p>
    <w:p>
      <w:pPr>
        <w:pStyle w:val="Heading2"/>
      </w:pPr>
      <w:r>
        <w:t>Beneficios medibles sin monetización inventada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Beneficio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Indicador a levantar antes y después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Menos merma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Metros desperdiciados/metros utilizados; costo real de tela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Menos errores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Registros corregidos y prendas afectadas por errores de información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Trazabilidad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Lotes con historial completo y tiempo de búsqueda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Medición de tiempos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Duración por lote con carga comparable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Menos papel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Hojas y costo real de formularios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Disponibilidad de información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Tiempo hasta que Jefe consulta avances</w:t>
            </w:r>
          </w:p>
        </w:tc>
      </w:tr>
    </w:tbl>
    <w:p>
      <w:pPr>
        <w:spacing w:after="40"/>
      </w:pPr>
    </w:p>
    <w:p>
      <w:r>
        <w:t>Menos papel no equivale automáticamente a ahorro de empleados. No atribuir al sistema reducción de defectos de costura sin evidencia.</w:t>
      </w:r>
    </w:p>
    <w:p>
      <w:pPr>
        <w:pStyle w:val="Heading2"/>
      </w:pPr>
      <w:r>
        <w:t>Escenarios y umbral</w:t>
      </w:r>
    </w:p>
    <w:p>
      <w:r>
        <w:t>Escenario 0: sin beneficio monetizado; se conoce costo cotizado, no retorno.</w:t>
      </w:r>
    </w:p>
    <w:p>
      <w:r>
        <w:t>Escenario medido: ahorro anual validado A menos O_anual; ROI primer año = (A - O_anual - I) / I × 100, solo si I &gt; 0 y A tiene base real.</w:t>
      </w:r>
    </w:p>
    <w:p>
      <w:r>
        <w:t>Recuperación simple = I / (A - O_anual), solo si A &gt; O_anual.</w:t>
      </w:r>
    </w:p>
    <w:p>
      <w:r>
        <w:t>Para recuperar en N años, ahorro anual requerido A = O_anual + I/N (sin descuento). Es un umbral, no ahorro asegurado.</w:t>
      </w:r>
    </w:p>
    <w:p>
      <w:r>
        <w:t>Si faltan datos de producción y precios no se puede dar ROI exacto ni afirmar rentabilidad.</w:t>
      </w:r>
    </w:p>
    <w:p>
      <w:pPr>
        <w:pStyle w:val="Heading2"/>
      </w:pPr>
      <w:r>
        <w:t>CONCLUSIÓN DE VIABILIDAD GLOBAL</w:t>
      </w:r>
    </w:p>
    <w:p>
      <w:r>
        <w:t>La alternativa web en nube es operativa y técnicamente viable bajo capacitación, adquisición y conectividad verificadas. La viabilidad económica queda condicionada a cotizaciones y medición de beneficios; se recomienda un piloto acotado y una decisión de inversión con I, O_anual y metas aprobadas. La disposición financiera del caso no sustituye esa evaluación.</w:t>
      </w:r>
    </w:p>
    <w:p>
      <w:pPr>
        <w:pStyle w:val="Heading1"/>
      </w:pPr>
      <w:r>
        <w:t>6. Conclusión de viabilidad</w:t>
      </w:r>
    </w:p>
    <w:p>
      <w:r>
        <w:t>La viabilidad operativa exige capacitación por rol, captura intuitiva y un piloto acompañado. La viabilidad técnica exige equipos nuevos, cobertura medida, conectividad y respaldo probado. La opción recomendada es una aplicación web monolítica en nube administrada, condicionada a Internet y energía confiables; si no se verifican, debe reevaluarse una solución local.</w:t>
      </w:r>
    </w:p>
    <w:p>
      <w:r>
        <w:t>La viabilidad económica no está demostrada con cifras. Obtener cotizaciones de I y O_anual, medir beneficios A y aprobar el umbral A ≥ O_anual + I/N antes de invertir. Disposición a financiar no equivale a rentabilidad. No se prometen reducciones porcentuales de merma ni de defectos.</w:t>
      </w:r>
    </w:p>
    <w:p>
      <w:pPr>
        <w:sectPr>
          <w:headerReference w:type="default" r:id="rId9"/>
          <w:footerReference w:type="default" r:id="rId10"/>
          <w:pgSz w:w="12240" w:h="15840"/>
          <w:pgMar w:top="1008" w:right="1008" w:bottom="1008" w:left="1008" w:header="432" w:footer="432" w:gutter="0"/>
          <w:cols w:space="720"/>
          <w:docGrid w:linePitch="360"/>
        </w:sectPr>
      </w:pPr>
    </w:p>
    <w:p>
      <w:pPr>
        <w:pStyle w:val="Heading1"/>
      </w:pPr>
      <w:r>
        <w:t>7. Stack de tecnologías</w:t>
      </w:r>
    </w:p>
    <w:p>
      <w:r>
        <w:t>Tres zonas: Planta, Perímetro y Nube. Router/firewall separado de Internet; HTTPS es el protocolo del enlace. Frontend y backend pertenecen al mismo servicio; PostgreSQL mantiene acceso privado. Respaldo y monitoreo cubren datos y aplicación. Nube condicionada a conectividad; RPO 24 h y RTO 8 h son objetivos propuestos.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17007840" cy="9072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ack-tecnolog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07840" cy="9072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 oficial editable: diagramas/fuentes/01-stack-tecnologias.drawio · PDF individual: diagramas/exportados/01-stack-tecnologias.pdf</w:t>
      </w:r>
    </w:p>
    <w:p>
      <w:pPr>
        <w:sectPr>
          <w:pgSz w:w="28800" w:h="17888"/>
          <w:pgMar w:top="864" w:right="864" w:bottom="864" w:left="864" w:header="432" w:footer="432" w:gutter="0"/>
          <w:cols w:space="720"/>
          <w:docGrid w:linePitch="360"/>
        </w:sectPr>
      </w:pPr>
    </w:p>
    <w:p>
      <w:pPr>
        <w:pStyle w:val="Heading1"/>
      </w:pPr>
      <w:r>
        <w:t>8. DFD de Contexto</w:t>
      </w:r>
    </w:p>
    <w:p>
      <w:r>
        <w:t>Un proceso 0; cuatro roles externos al software; ocho flujos de datos nominales F01–F08. Las transferencias físicas de tela y prendas no se dibujan como flujos informáticos.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17007840" cy="11393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fd-contex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07840" cy="11393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 oficial editable: diagramas/fuentes/02-dfd-contexto.drawio · PDF individual: diagramas/exportados/02-dfd-contexto.pdf</w:t>
      </w:r>
    </w:p>
    <w:p>
      <w:pPr>
        <w:sectPr>
          <w:pgSz w:w="28800" w:h="21543"/>
          <w:pgMar w:top="864" w:right="864" w:bottom="864" w:left="864" w:header="432" w:footer="432" w:gutter="0"/>
          <w:cols w:space="720"/>
          <w:docGrid w:linePitch="360"/>
        </w:sectPr>
      </w:pPr>
    </w:p>
    <w:p>
      <w:pPr>
        <w:pStyle w:val="Heading1"/>
      </w:pPr>
      <w:r>
        <w:t>9. DFD Nivel 0</w:t>
      </w:r>
    </w:p>
    <w:p>
      <w:r>
        <w:t>Cuatro procesos y cuatro almacenes lógicos. Balance externo idéntico al contexto. P4 actualiza D4; P1 consulta D4 para elaborar F02 al Jefe. Se elimina P4→P1; la representación repetida de D4 abrevia D4→P1 sin agregar un almacén.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17007840" cy="80184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fd-nivel-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07840" cy="8018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 oficial editable: diagramas/fuentes/03-dfd-nivel-0.drawio · PDF individual: diagramas/exportados/03-dfd-nivel-0.pdf</w:t>
      </w:r>
    </w:p>
    <w:p>
      <w:pPr>
        <w:sectPr>
          <w:pgSz w:w="28800" w:h="16227"/>
          <w:pgMar w:top="864" w:right="864" w:bottom="864" w:left="864" w:header="432" w:footer="432" w:gutter="0"/>
          <w:cols w:space="720"/>
          <w:docGrid w:linePitch="360"/>
        </w:sectPr>
      </w:pPr>
    </w:p>
    <w:p>
      <w:pPr>
        <w:pStyle w:val="Heading1"/>
      </w:pPr>
      <w:r>
        <w:t>10. Casos de Uso</w:t>
      </w:r>
    </w:p>
    <w:p>
      <w:r>
        <w:t>Cinco dependencias include hacia comportamiento obligatorio. Registrar causa de rechazo extiende Registrar inspección solo cuando la prenda está rechazada. Liberar aprobadas para empaque incluye Generar código de lote y exige aprobadas; no atribuye empaque físico al Inspector ni inventa reproceso.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17007840" cy="124503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sos-us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07840" cy="1245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 oficial editable: diagramas/fuentes/04-casos-uso.drawio · PDF individual: diagramas/exportados/04-casos-uso.pdf</w:t>
      </w:r>
    </w:p>
    <w:p>
      <w:pPr>
        <w:sectPr>
          <w:pgSz w:w="28800" w:h="23207"/>
          <w:pgMar w:top="864" w:right="864" w:bottom="864" w:left="864" w:header="432" w:footer="432" w:gutter="0"/>
          <w:cols w:space="720"/>
          <w:docGrid w:linePitch="360"/>
        </w:sectPr>
      </w:pPr>
    </w:p>
    <w:p>
      <w:pPr>
        <w:pStyle w:val="Heading1"/>
      </w:pPr>
      <w:r>
        <w:t>11. Secuencia</w:t>
      </w:r>
    </w:p>
    <w:p>
      <w:r>
        <w:t>Escenario completo de producción. loop 13–17 por prenda; alt 14/15 mutuamente excluyentes. Mensajes 1–19 preservados; 18–20 solo si hay aprobadas. El 20, Código de lote y confirmación de liberación, confirma la liberación registrada, no el empaque físico. Sistema y Persistencia representan fronteras lógicas, no clases de implementación.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17007840" cy="146403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cuen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07840" cy="14640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 oficial editable: diagramas/fuentes/05-secuencia.drawio · PDF individual: diagramas/exportados/05-secuencia.pdf</w:t>
      </w:r>
    </w:p>
    <w:p>
      <w:pPr>
        <w:sectPr>
          <w:pgSz w:w="28800" w:h="26656"/>
          <w:pgMar w:top="864" w:right="864" w:bottom="864" w:left="864" w:header="432" w:footer="432" w:gutter="0"/>
          <w:cols w:space="720"/>
          <w:docGrid w:linePitch="360"/>
        </w:sectPr>
      </w:pPr>
    </w:p>
    <w:p>
      <w:pPr>
        <w:pStyle w:val="Heading1"/>
      </w:pPr>
      <w:r>
        <w:t>12. Colaboración</w:t>
      </w:r>
    </w:p>
    <w:p>
      <w:r>
        <w:t>Mismos participantes y 20 mensajes de secuencia. Los enlaces indican llamadas abreviadas numeradas y dirección; la tabla conserva los contenidos completos. Guardas aprobada, rechazada y hay aprobadas preservadas. Liberar aprobadas para empaque y confirmarLiberacion() no afirman ejecución de empaque físico.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17007840" cy="128805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labora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07840" cy="12880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 oficial editable: diagramas/fuentes/06-colaboracion.drawio · PDF individual: diagramas/exportados/06-colaboracion.pdf</w:t>
      </w:r>
    </w:p>
    <w:p>
      <w:pPr>
        <w:sectPr>
          <w:pgSz w:w="28800" w:h="23884"/>
          <w:pgMar w:top="864" w:right="864" w:bottom="864" w:left="864" w:header="432" w:footer="432" w:gutter="0"/>
          <w:cols w:space="720"/>
          <w:docGrid w:linePitch="360"/>
        </w:sectPr>
      </w:pPr>
    </w:p>
    <w:p>
      <w:pPr>
        <w:pStyle w:val="Heading1"/>
      </w:pPr>
      <w:r>
        <w:t>13. Conclusiones</w:t>
      </w:r>
    </w:p>
    <w:p>
      <w:r>
        <w:t>El modelo se limita a producción: habilitación, corte, confección, inspección y empaque. Los controles del PDF tienen trazabilidad en los seis artefactos; no se añadieron compras, ventas, RRHH ni requisitos mínimos DERCAS que este examen no impone.</w:t>
      </w:r>
    </w:p>
    <w:p>
      <w:r>
        <w:t>La solución ofrece una base verificable para discutir captura, trazabilidad y medición. Renderizar un archivo no demuestra corrección académica: la aprobación de inferencias, tolerancias, fórmula de merma y semántica de lotes requiere revisión del docente o del responsable de planta.</w:t>
      </w:r>
    </w:p>
    <w:p>
      <w:pPr>
        <w:pStyle w:val="Heading2"/>
      </w:pPr>
      <w:r>
        <w:t>Supuestos y ambigüedades para revisión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03"/>
        <w:gridCol w:w="2775"/>
        <w:gridCol w:w="6646"/>
      </w:tblGrid>
      <w:tr>
        <w:trPr>
          <w:tblHeader/>
          <w:cantSplit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6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Decisión o incertidumbre</w:t>
            </w:r>
          </w:p>
        </w:tc>
      </w:tr>
      <w:tr>
        <w:trPr>
          <w:cantSplit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S01</w:t>
            </w:r>
          </w:p>
        </w:tc>
        <w:tc>
          <w:tcPr>
            <w:tcW w:type="dxa" w:w="2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INFERENCIA</w:t>
            </w:r>
          </w:p>
        </w:tc>
        <w:tc>
          <w:tcPr>
            <w:tcW w:type="dxa" w:w="6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Liberar solo prendas aprobadas; rechazadas quedan registradas y segregadas</w:t>
            </w:r>
          </w:p>
        </w:tc>
      </w:tr>
      <w:tr>
        <w:trPr>
          <w:cantSplit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S02</w:t>
            </w:r>
          </w:p>
        </w:tc>
        <w:tc>
          <w:tcPr>
            <w:tcW w:type="dxa" w:w="2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TECNICO_COMPLEMENTARIO</w:t>
            </w:r>
          </w:p>
        </w:tc>
        <w:tc>
          <w:tcPr>
            <w:tcW w:type="dxa" w:w="6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ID interno desde OT; código de empaque generado tras calidad</w:t>
            </w:r>
          </w:p>
        </w:tc>
      </w:tr>
      <w:tr>
        <w:trPr>
          <w:cantSplit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S03</w:t>
            </w:r>
          </w:p>
        </w:tc>
        <w:tc>
          <w:tcPr>
            <w:tcW w:type="dxa" w:w="2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INFERENCIA</w:t>
            </w:r>
          </w:p>
        </w:tc>
        <w:tc>
          <w:tcPr>
            <w:tcW w:type="dxa" w:w="6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Confirmaciones y resumen para coordinación de usuarios</w:t>
            </w:r>
          </w:p>
        </w:tc>
      </w:tr>
      <w:tr>
        <w:trPr>
          <w:cantSplit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S04</w:t>
            </w:r>
          </w:p>
        </w:tc>
        <w:tc>
          <w:tcPr>
            <w:tcW w:type="dxa" w:w="2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TECNICO_COMPLEMENTARIO</w:t>
            </w:r>
          </w:p>
        </w:tc>
        <w:tc>
          <w:tcPr>
            <w:tcW w:type="dxa" w:w="6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Merma en metros utilizados; validar fórmula con Jefe de Planta</w:t>
            </w:r>
          </w:p>
        </w:tc>
      </w:tr>
      <w:tr>
        <w:trPr>
          <w:cantSplit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S05</w:t>
            </w:r>
          </w:p>
        </w:tc>
        <w:tc>
          <w:tcPr>
            <w:tcW w:type="dxa" w:w="2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TECNICO_COMPLEMENTARIO</w:t>
            </w:r>
          </w:p>
        </w:tc>
        <w:tc>
          <w:tcPr>
            <w:tcW w:type="dxa" w:w="6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Objetivos propuestos RPO 24 h y RTO 8 h, no SLA garantizado</w:t>
            </w:r>
          </w:p>
        </w:tc>
      </w:tr>
      <w:tr>
        <w:trPr>
          <w:cantSplit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S06</w:t>
            </w:r>
          </w:p>
        </w:tc>
        <w:tc>
          <w:tcPr>
            <w:tcW w:type="dxa" w:w="2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TECNICO_COMPLEMENTARIO</w:t>
            </w:r>
          </w:p>
        </w:tc>
        <w:tc>
          <w:tcPr>
            <w:tcW w:type="dxa" w:w="6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Capacitación por grupo: Jefe 2 sesiones; Corte 3; Confección 3; Inspector 3</w:t>
            </w:r>
          </w:p>
        </w:tc>
      </w:tr>
      <w:tr>
        <w:trPr>
          <w:cantSplit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A01</w:t>
            </w:r>
          </w:p>
        </w:tc>
        <w:tc>
          <w:tcPr>
            <w:tcW w:type="dxa" w:w="2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AMBIGUO</w:t>
            </w:r>
          </w:p>
        </w:tc>
        <w:tc>
          <w:tcPr>
            <w:tcW w:type="dxa" w:w="6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Empleados, estaciones, turnos, concurrencia y cobertura sin cuantificar</w:t>
            </w:r>
          </w:p>
        </w:tc>
      </w:tr>
      <w:tr>
        <w:trPr>
          <w:cantSplit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A02</w:t>
            </w:r>
          </w:p>
        </w:tc>
        <w:tc>
          <w:tcPr>
            <w:tcW w:type="dxa" w:w="2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AMBIGUO</w:t>
            </w:r>
          </w:p>
        </w:tc>
        <w:tc>
          <w:tcPr>
            <w:tcW w:type="dxa" w:w="6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Nivel informático del Jefe no especificado</w:t>
            </w:r>
          </w:p>
        </w:tc>
      </w:tr>
      <w:tr>
        <w:trPr>
          <w:cantSplit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A03</w:t>
            </w:r>
          </w:p>
        </w:tc>
        <w:tc>
          <w:tcPr>
            <w:tcW w:type="dxa" w:w="2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AMBIGUO</w:t>
            </w:r>
          </w:p>
        </w:tc>
        <w:tc>
          <w:tcPr>
            <w:tcW w:type="dxa" w:w="6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Tolerancias del metraje, costuras y dimensiones no proporcionadas</w:t>
            </w:r>
          </w:p>
        </w:tc>
      </w:tr>
      <w:tr>
        <w:trPr>
          <w:cantSplit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A04</w:t>
            </w:r>
          </w:p>
        </w:tc>
        <w:tc>
          <w:tcPr>
            <w:tcW w:type="dxa" w:w="2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AMBIGUO</w:t>
            </w:r>
          </w:p>
        </w:tc>
        <w:tc>
          <w:tcPr>
            <w:tcW w:type="dxa" w:w="6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Relación lote-paquete, estructura del código y lotes parcialmente liberados</w:t>
            </w:r>
          </w:p>
        </w:tc>
      </w:tr>
      <w:tr>
        <w:trPr>
          <w:cantSplit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A05</w:t>
            </w:r>
          </w:p>
        </w:tc>
        <w:tc>
          <w:tcPr>
            <w:tcW w:type="dxa" w:w="2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AMBIGUO</w:t>
            </w:r>
          </w:p>
        </w:tc>
        <w:tc>
          <w:tcPr>
            <w:tcW w:type="dxa" w:w="6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Política posterior para rechazadas: no se agregó reproceso</w:t>
            </w:r>
          </w:p>
        </w:tc>
      </w:tr>
      <w:tr>
        <w:trPr>
          <w:cantSplit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A06</w:t>
            </w:r>
          </w:p>
        </w:tc>
        <w:tc>
          <w:tcPr>
            <w:tcW w:type="dxa" w:w="2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AMBIGUO</w:t>
            </w:r>
          </w:p>
        </w:tc>
        <w:tc>
          <w:tcPr>
            <w:tcW w:type="dxa" w:w="6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Precios, moneda aprobada y métricas productivas: modelo parametrizado, ROI no calculable</w:t>
            </w:r>
          </w:p>
        </w:tc>
      </w:tr>
      <w:tr>
        <w:trPr>
          <w:cantSplit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A07</w:t>
            </w:r>
          </w:p>
        </w:tc>
        <w:tc>
          <w:tcPr>
            <w:tcW w:type="dxa" w:w="2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AMBIGUO</w:t>
            </w:r>
          </w:p>
        </w:tc>
        <w:tc>
          <w:tcPr>
            <w:tcW w:type="dxa" w:w="6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Internet y energía reales; nube condicionada a disponibilidad verificada</w:t>
            </w:r>
          </w:p>
        </w:tc>
      </w:tr>
      <w:tr>
        <w:trPr>
          <w:cantSplit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A08</w:t>
            </w:r>
          </w:p>
        </w:tc>
        <w:tc>
          <w:tcPr>
            <w:tcW w:type="dxa" w:w="2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AMBIGUO</w:t>
            </w:r>
          </w:p>
        </w:tc>
        <w:tc>
          <w:tcPr>
            <w:tcW w:type="dxa" w:w="66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Responsable y registro del empaque físico no especificados; no se atribuye esa ejecución al Inspector</w:t>
            </w:r>
          </w:p>
        </w:tc>
      </w:tr>
    </w:tbl>
    <w:p>
      <w:pPr>
        <w:spacing w:after="40"/>
      </w:pPr>
    </w:p>
    <w:p>
      <w:r>
        <w:t>La falta del PDF quedó resuelta. Responsabilidad de calidad y momento del código de empaque están expresos en pp. 1–2. Esto no identifica al ejecutor del empaque físico ni demuestra que haya ocurrido: el sistema confirma la liberación registrada.</w:t>
      </w:r>
    </w:p>
    <w:p>
      <w:r>
        <w:t>Otros pendientes humanos: completar nombre/carné; aprobar estaciones y turnos, cobertura, tarifas y horizonte de recuperación; acordar RPO/RTO; confirmar liberaciones parciales y política de rechazadas. La instrucción del PDF de agregar hescobarm@miumg.edu.gt como colaborador queda pendiente: no se compartió información fuera del trabajo local.</w:t>
      </w:r>
    </w:p>
    <w:p>
      <w:pPr>
        <w:pStyle w:val="Heading2"/>
      </w:pPr>
      <w:r>
        <w:t>Evidencia de origen y diferencias</w:t>
      </w:r>
    </w:p>
    <w:p>
      <w:pPr>
        <w:pStyle w:val="Heading2"/>
      </w:pPr>
      <w:r>
        <w:t>Archivo recibido</w:t>
      </w:r>
    </w:p>
    <w:p>
      <w:pPr>
        <w:pStyle w:val="ListBullet"/>
      </w:pPr>
      <w:r>
        <w:t>Nombre original: Texto pegado.txt.</w:t>
      </w:r>
    </w:p>
    <w:p>
      <w:pPr>
        <w:pStyle w:val="ListBullet"/>
      </w:pPr>
      <w:r>
        <w:t>Copia íntegra: instrucciones-recibidas.txt.</w:t>
      </w:r>
    </w:p>
    <w:p>
      <w:pPr>
        <w:pStyle w:val="ListBullet"/>
      </w:pPr>
      <w:r>
        <w:t>SHA-256 de original y copia: 9286025FEEF2182BA81813BF1EB924F9AF8B77F4156869EB6319B14CDCB1FFAD.</w:t>
      </w:r>
    </w:p>
    <w:p>
      <w:pPr>
        <w:pStyle w:val="ListBullet"/>
      </w:pPr>
      <w:r>
        <w:t>Contenido: instrucciones de trabajo con caso, restricciones y entregables.</w:t>
      </w:r>
    </w:p>
    <w:p>
      <w:pPr>
        <w:pStyle w:val="Heading2"/>
      </w:pPr>
      <w:r>
        <w:t>PDF original del examen</w:t>
      </w:r>
    </w:p>
    <w:p>
      <w:r>
        <w:t>Disponible: Simulacro de examen .pdf, 59 325 bytes, dos páginas, legible y sin cifrado.</w:t>
      </w:r>
    </w:p>
    <w:p>
      <w:r>
        <w:t>SHA-256: 97B0B4F60A010FCA32062FBD7240A1505275625C6FA46A7FCAD14005F0F1C239.</w:t>
      </w:r>
    </w:p>
    <w:p>
      <w:r>
        <w:t>Se conservaron nombre y contenido originales. La ruta indicada por el usuario con guiones correspondía a este archivo con espacios.</w:t>
      </w:r>
    </w:p>
    <w:p>
      <w:r>
        <w:t>Texto nativo extraído y ambas páginas revisadas visualmente. La comparación está en COMPARACION.md; el PDF tiene prioridad para hechos y requisitos del examen.</w:t>
      </w:r>
    </w:p>
    <w:p>
      <w:r>
        <w:t>Fuente primaria: Simulacro de examen .pdf, dos páginas, fecha impresa 05/Octubre/2026. Fuente complementaria: instrucciones-recibidas.txt (copia íntegra de Texto pegado.txt).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1"/>
        <w:gridCol w:w="1941"/>
        <w:gridCol w:w="3235"/>
        <w:gridCol w:w="3106"/>
      </w:tblGrid>
      <w:tr>
        <w:trPr>
          <w:tblHeader/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Diferencia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PDF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Texto recibido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Resolución</w:t>
            </w:r>
          </w:p>
        </w:tc>
      </w:tr>
      <w:tr>
        <w:trPr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OT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Modelo, cantidad, color y tallas (p. 1)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No detalla todos esos campos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Incorporar los cuatro campos</w:t>
            </w:r>
          </w:p>
        </w:tc>
      </w:tr>
      <w:tr>
        <w:trPr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Roles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Asignación expresa de cada participante a su proceso (pp. 1–2)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Se enumeran actores y procesos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Ya no se considera inferida</w:t>
            </w:r>
          </w:p>
        </w:tc>
      </w:tr>
      <w:tr>
        <w:trPr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Inspección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Prenda por prenda: acabado, costuras y dimensiones (p. 2)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Condición aprobada/rechazada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Registrar criterios de inspección</w:t>
            </w:r>
          </w:p>
        </w:tc>
      </w:tr>
      <w:tr>
        <w:trPr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Defectos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Mancha, rotura y mala costura (p. 2)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Causa del defecto sin catálogo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Incorporar catálogo y opción Otro justificada</w:t>
            </w:r>
          </w:p>
        </w:tc>
      </w:tr>
      <w:tr>
        <w:trPr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Lote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Código para empaque después de calidad (p. 2)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Generación de código sin momento inequívoco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Generar código de empaque en liberación; ID interno de seguimiento desde OT</w:t>
            </w:r>
          </w:p>
        </w:tc>
      </w:tr>
      <w:tr>
        <w:trPr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Presupuesto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Disposición financiera, condicionada a justificar inversión (p. 2)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Modelo económico sin monto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No asumir presupuesto ilimitado</w:t>
            </w:r>
          </w:p>
        </w:tc>
      </w:tr>
      <w:tr>
        <w:trPr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Entrega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DRAW.IO y PDF; agregar colaborador hescobarm@miumg.edu.gt (p. 1)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No menciona colaboración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Pendiente para revisión humana antes de compartir</w:t>
            </w:r>
          </w:p>
        </w:tc>
      </w:tr>
      <w:tr>
        <w:trPr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Formatos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Seis diagramas y factibilidad (p. 2)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Agrega DOCX, SVG, PNG y trazabilidad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Cumplir los formatos adicionales del usuario</w:t>
            </w:r>
          </w:p>
        </w:tc>
      </w:tr>
      <w:tr>
        <w:trPr>
          <w:cantSplit/>
        </w:trPr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Include/extend</w:t>
            </w:r>
          </w:p>
        </w:tc>
        <w:tc>
          <w:tcPr>
            <w:tcW w:type="dxa" w:w="1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Escribe “includes y extends” (p. 2)</w:t>
            </w:r>
          </w:p>
        </w:tc>
        <w:tc>
          <w:tcPr>
            <w:tcW w:type="dxa" w:w="32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Ordena UML estándar</w:t>
            </w:r>
          </w:p>
        </w:tc>
        <w:tc>
          <w:tcPr>
            <w:tcW w:type="dxa" w:w="31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Usar «include» y «extend», singulares</w:t>
            </w:r>
          </w:p>
        </w:tc>
      </w:tr>
    </w:tbl>
    <w:p>
      <w:pPr>
        <w:spacing w:after="40"/>
      </w:pPr>
    </w:p>
    <w:p>
      <w:r>
        <w:t>No hay contradicción sustantiva de alcance. El PDF define el negocio; el encargo complementa presentación y validación. Los campos Nombre/Carnet del original permanecen sin completar.</w:t>
      </w:r>
    </w:p>
    <w:p>
      <w:pPr>
        <w:pStyle w:val="Heading2"/>
      </w:pPr>
      <w:r>
        <w:t>Consistencia cruzada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8"/>
        <w:gridCol w:w="1636"/>
        <w:gridCol w:w="1636"/>
        <w:gridCol w:w="2317"/>
        <w:gridCol w:w="1363"/>
        <w:gridCol w:w="1363"/>
      </w:tblGrid>
      <w:tr>
        <w:trPr>
          <w:tblHeader/>
          <w:cantSplit/>
        </w:trPr>
        <w:tc>
          <w:tcPr>
            <w:tcW w:type="dxa" w:w="1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DFD Contexto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DFD 0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Casos de Uso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Secuencia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Colaboración</w:t>
            </w:r>
          </w:p>
        </w:tc>
      </w:tr>
      <w:tr>
        <w:trPr>
          <w:cantSplit/>
        </w:trPr>
        <w:tc>
          <w:tcPr>
            <w:tcW w:type="dxa" w:w="1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Jefe de Planta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F01/F02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P1, D1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Crear OT; verificar metraje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1–4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1–4</w:t>
            </w:r>
          </w:p>
        </w:tc>
      </w:tr>
      <w:tr>
        <w:trPr>
          <w:cantSplit/>
        </w:trPr>
        <w:tc>
          <w:tcPr>
            <w:tcW w:type="dxa" w:w="1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Operario de Corte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F03/F04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P2, D2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Registrar corte; conteo y merma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5–8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5–8</w:t>
            </w:r>
          </w:p>
        </w:tc>
      </w:tr>
      <w:tr>
        <w:trPr>
          <w:cantSplit/>
        </w:trPr>
        <w:tc>
          <w:tcPr>
            <w:tcW w:type="dxa" w:w="1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Operario de Confección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F05/F06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P3, D3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Registrar confección; avance y tiempo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9–12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9–12</w:t>
            </w:r>
          </w:p>
        </w:tc>
      </w:tr>
      <w:tr>
        <w:trPr>
          <w:cantSplit/>
        </w:trPr>
        <w:tc>
          <w:tcPr>
            <w:tcW w:type="dxa" w:w="1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Inspector de Calidad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F07/F08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P4, D4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Inspección; rechazo; Liberar aprobadas para empaque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13–20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13–20</w:t>
            </w:r>
          </w:p>
        </w:tc>
      </w:tr>
      <w:tr>
        <w:trPr>
          <w:cantSplit/>
        </w:trPr>
        <w:tc>
          <w:tcPr>
            <w:tcW w:type="dxa" w:w="1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OT y tela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F01/F02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P1→P2, D1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Crear OT incluye verificar metraje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1–4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1–4</w:t>
            </w:r>
          </w:p>
        </w:tc>
      </w:tr>
      <w:tr>
        <w:trPr>
          <w:cantSplit/>
        </w:trPr>
        <w:tc>
          <w:tcPr>
            <w:tcW w:type="dxa" w:w="1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Corte y paquetes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F03/F04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P2→P3, D2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Conteo y merma obligatorios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5–8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5–8</w:t>
            </w:r>
          </w:p>
        </w:tc>
      </w:tr>
      <w:tr>
        <w:trPr>
          <w:cantSplit/>
        </w:trPr>
        <w:tc>
          <w:tcPr>
            <w:tcW w:type="dxa" w:w="1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Avance y duración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F05/F06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P3→P4, D3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Avance y tiempo obligatorios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9–12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9–12</w:t>
            </w:r>
          </w:p>
        </w:tc>
      </w:tr>
      <w:tr>
        <w:trPr>
          <w:cantSplit/>
        </w:trPr>
        <w:tc>
          <w:tcPr>
            <w:tcW w:type="dxa" w:w="1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Aprobada/rechazada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Resultado y resumen F07/F08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P4, D4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Rechazo extiende inspección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loop 13–17; alt 14/15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13–17; guardas 14/15</w:t>
            </w:r>
          </w:p>
        </w:tc>
      </w:tr>
      <w:tr>
        <w:trPr>
          <w:cantSplit/>
        </w:trPr>
        <w:tc>
          <w:tcPr>
            <w:tcW w:type="dxa" w:w="1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Código de lote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F08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P4→D4; D4→P1 para F02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Liberar aprobadas para empaque incluye Generar código de lote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18–20 tras calidad; 20 confirma liberación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18–20 idénticos; 20 confirma liberación</w:t>
            </w:r>
          </w:p>
        </w:tc>
      </w:tr>
      <w:tr>
        <w:trPr>
          <w:cantSplit/>
        </w:trPr>
        <w:tc>
          <w:tcPr>
            <w:tcW w:type="dxa" w:w="1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Persistencia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Oculta por nivel de abstracción</w:t>
            </w:r>
          </w:p>
        </w:tc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D1–D4</w:t>
            </w:r>
          </w:p>
        </w:tc>
        <w:tc>
          <w:tcPr>
            <w:tcW w:type="dxa" w:w="2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No es actor humano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Participante técnico PostgreSQL</w:t>
            </w:r>
          </w:p>
        </w:tc>
        <w:tc>
          <w:tcPr>
            <w:tcW w:type="dxa" w:w="13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18"/>
              </w:rPr>
              <w:t>Mismo participante técnico</w:t>
            </w:r>
          </w:p>
        </w:tc>
      </w:tr>
    </w:tbl>
    <w:p>
      <w:pPr>
        <w:spacing w:after="40"/>
      </w:pPr>
    </w:p>
    <w:p>
      <w:r>
        <w:t>F04: Datos de corte y estado del registro.</w:t>
      </w:r>
    </w:p>
    <w:p>
      <w:r>
        <w:t>F06: Datos de paquete habilitado y estado de confección.</w:t>
      </w:r>
    </w:p>
    <w:p>
      <w:r>
        <w:t>Mensaje 20: Código de lote y confirmación de liberación.</w:t>
      </w:r>
    </w:p>
    <w:p>
      <w:r>
        <w:t>Los mensajes son un escenario representativo, no el catálogo completo de consultas del sistema. P4 actualiza D4; P1 consulta D4 para producir el resumen F02 al Jefe. D4 repetido junto a P1 representa el mismo almacén lógico, no un quinto almacén. Los datos de corte y paquetes tienen soporte en los almacenes y no necesitan una segunda secuencia independiente. Las confirmaciones, el ID interno, la liberación solo de aprobadas y el stack son inferencias/decisiones técnicas registradas; no se atribuyen al PDF. El Inspector libera aprobadas y genera el lote; no se le atribuye el empaque físico.</w:t>
      </w:r>
    </w:p>
    <w:p>
      <w:r>
        <w:t>Los 20 identificadores, emisores, receptores y contenidos se comparan automáticamente entre secuencia y colaboración. Los ocho flujos se comparan normalizando únicamente espacios y saltos visuales de línea.</w:t>
      </w:r>
    </w:p>
    <w:p>
      <w:pPr>
        <w:pStyle w:val="Heading2"/>
      </w:pPr>
      <w:r>
        <w:t>Fuentes y clasificación de evidencia</w:t>
      </w:r>
    </w:p>
    <w:p>
      <w:r>
        <w:t>Referencias al repositorio, no a versiones externas.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90"/>
        <w:gridCol w:w="2191"/>
        <w:gridCol w:w="3944"/>
      </w:tblGrid>
      <w:tr>
        <w:trPr>
          <w:tblHeader/>
          <w:cantSplit/>
        </w:trPr>
        <w:tc>
          <w:tcPr>
            <w:tcW w:type="dxa" w:w="4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Fuente</w:t>
            </w:r>
          </w:p>
        </w:tc>
        <w:tc>
          <w:tcPr>
            <w:tcW w:type="dxa" w:w="2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Sección</w:t>
            </w:r>
          </w:p>
        </w:tc>
        <w:tc>
          <w:tcPr>
            <w:tcW w:type="dxa" w:w="3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AE8FC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Aplicación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AGENTS.md</w:t>
            </w:r>
          </w:p>
        </w:tc>
        <w:tc>
          <w:tcPr>
            <w:tcW w:type="dxa" w:w="2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Flujo obligatorio y jerarquía de evidencia</w:t>
            </w:r>
          </w:p>
        </w:tc>
        <w:tc>
          <w:tcPr>
            <w:tcW w:type="dxa" w:w="3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Analizar antes de dibujar; preservar fuentes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base-conocimiento/criterios-evaluacion/README.md</w:t>
            </w:r>
          </w:p>
        </w:tc>
        <w:tc>
          <w:tcPr>
            <w:tcW w:type="dxa" w:w="2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Matrices 1, 6, 10, 11, 12, 14 y 15</w:t>
            </w:r>
          </w:p>
        </w:tc>
        <w:tc>
          <w:tcPr>
            <w:tcW w:type="dxa" w:w="3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Factibilidad, stack, DFD y UML solicitados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base-conocimiento/criterios-evaluacion/DERCAS-vs-EJERCICIOS.md</w:t>
            </w:r>
          </w:p>
        </w:tc>
        <w:tc>
          <w:tcPr>
            <w:tcW w:type="dxa" w:w="2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Solo si el ejercicio lo solicita</w:t>
            </w:r>
          </w:p>
        </w:tc>
        <w:tc>
          <w:tcPr>
            <w:tcW w:type="dxa" w:w="3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No aplicar mínimos DERCAS de tablas/actividades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base-conocimiento/MAPA-DEPENDENCIAS.md</w:t>
            </w:r>
          </w:p>
        </w:tc>
        <w:tc>
          <w:tcPr>
            <w:tcW w:type="dxa" w:w="2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Controles de consistencia</w:t>
            </w:r>
          </w:p>
        </w:tc>
        <w:tc>
          <w:tcPr>
            <w:tcW w:type="dxa" w:w="3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Balance DFD y equivalencia de interacciones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plantillas/VALIDACION-EJERCICIO.md</w:t>
            </w:r>
          </w:p>
        </w:tc>
        <w:tc>
          <w:tcPr>
            <w:tcW w:type="dxa" w:w="2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Entrada, análisis, generación y revisión</w:t>
            </w:r>
          </w:p>
        </w:tc>
        <w:tc>
          <w:tcPr>
            <w:tcW w:type="dxa" w:w="3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Prevalidación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base-conocimiento/uml/casos-uso-notacion.md</w:t>
            </w:r>
          </w:p>
        </w:tc>
        <w:tc>
          <w:tcPr>
            <w:tcW w:type="dxa" w:w="2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Convención UML estándar</w:t>
            </w:r>
          </w:p>
        </w:tc>
        <w:tc>
          <w:tcPr>
            <w:tcW w:type="dxa" w:w="3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Include/extend singulares y dirección correcta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base-conocimiento/dfd/reglas-integradas.md</w:t>
            </w:r>
          </w:p>
        </w:tc>
        <w:tc>
          <w:tcPr>
            <w:tcW w:type="dxa" w:w="2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Convenciones complementarias</w:t>
            </w:r>
          </w:p>
        </w:tc>
        <w:tc>
          <w:tcPr>
            <w:tcW w:type="dxa" w:w="3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Nombres, balance y conexiones permitidas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base-conocimiento/factibilidad/factibilidad.md</w:t>
            </w:r>
          </w:p>
        </w:tc>
        <w:tc>
          <w:tcPr>
            <w:tcW w:type="dxa" w:w="2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Elementos y reglas</w:t>
            </w:r>
          </w:p>
        </w:tc>
        <w:tc>
          <w:tcPr>
            <w:tcW w:type="dxa" w:w="3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Evidencia y supuestos en las tres factibilidades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base-conocimiento/factibilidad/criterios-dercas.md</w:t>
            </w:r>
          </w:p>
        </w:tc>
        <w:tc>
          <w:tcPr>
            <w:tcW w:type="dxa" w:w="2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Reglas específicas</w:t>
            </w:r>
          </w:p>
        </w:tc>
        <w:tc>
          <w:tcPr>
            <w:tcW w:type="dxa" w:w="3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Referencia de estructura; solo aplicar lo adoptado por el encargo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base-conocimiento/arquitectura/diseno-y-despliegue.md</w:t>
            </w:r>
          </w:p>
        </w:tc>
        <w:tc>
          <w:tcPr>
            <w:tcW w:type="dxa" w:w="2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Ejemplos, convenciones y vacíos</w:t>
            </w:r>
          </w:p>
        </w:tc>
        <w:tc>
          <w:tcPr>
            <w:tcW w:type="dxa" w:w="3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Justificar tecnología por necesidad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base-conocimiento/requerimientos/levantamiento-y-especificacion.md</w:t>
            </w:r>
          </w:p>
        </w:tc>
        <w:tc>
          <w:tcPr>
            <w:tcW w:type="dxa" w:w="2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Objetivo y elementos</w:t>
            </w:r>
          </w:p>
        </w:tc>
        <w:tc>
          <w:tcPr>
            <w:tcW w:type="dxa" w:w="3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Trazabilidad y claridad de requisitos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enunciado/instrucciones-recibidas.txt</w:t>
            </w:r>
          </w:p>
        </w:tc>
        <w:tc>
          <w:tcPr>
            <w:tcW w:type="dxa" w:w="2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Secciones 1–18</w:t>
            </w:r>
          </w:p>
        </w:tc>
        <w:tc>
          <w:tcPr>
            <w:tcW w:type="dxa" w:w="3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Restricciones explícitas del usuario</w:t>
            </w:r>
          </w:p>
        </w:tc>
      </w:tr>
    </w:tbl>
    <w:p>
      <w:pPr>
        <w:spacing w:after="40"/>
      </w:pPr>
    </w:p>
    <w:p>
      <w:r>
        <w:t>PDF primario: Simulacro de examen .pdf, p. 1 (restricciones, OT, corte y confección), p. 2 (calidad, perfil, infraestructura, presupuesto y entregables).</w:t>
      </w:r>
    </w:p>
    <w:p>
      <w:r>
        <w:t>Referencias externas complementarias para selección técnica:</w:t>
      </w:r>
    </w:p>
    <w:p>
      <w:pPr>
        <w:pStyle w:val="ListBullet"/>
      </w:pPr>
      <w:r>
        <w:t>Django: https://docs.djangoproject.com/en/6.0/intro/overview/</w:t>
      </w:r>
    </w:p>
    <w:p>
      <w:pPr>
        <w:pStyle w:val="ListBullet"/>
      </w:pPr>
      <w:r>
        <w:t>PostgreSQL, respaldos: https://www.postgresql.org/docs/current/continuous-archiving.html</w:t>
      </w:r>
    </w:p>
    <w:p>
      <w:pPr>
        <w:pStyle w:val="ListBullet"/>
      </w:pPr>
      <w:r>
        <w:t>DRAW.IO, formatos: https://www.drawio.com/docs/manual/export/export-diagram/</w:t>
      </w:r>
    </w:p>
    <w:p>
      <w:r>
        <w:t>Estas referencias respaldan tecnología y formatos, no son reglas del catedrático.</w:t>
      </w:r>
    </w:p>
    <w:p>
      <w:pPr>
        <w:pStyle w:val="Heading2"/>
      </w:pPr>
      <w:r>
        <w:t>Validación y límites</w:t>
      </w:r>
    </w:p>
    <w:p>
      <w:r>
        <w:t>Verificaciones reproducibles: validacion/comprobaciones.json y validacion/RESULTADOS.md. Incluyen XML DRAW.IO, referencias, lienzos, ocho flujos balanceados, direcciones include/extend, 20 mensajes equivalentes, exportaciones, hash original y patrones de credenciales. La revisión visual se realiza por separado sobre las seis exportaciones y todas las páginas del PDF final.</w:t>
      </w:r>
    </w:p>
    <w:p>
      <w:r>
        <w:t>Entrega deliberadamente detenida antes de commit y publicación. Mantener rama codex/ejercicio-001-textiles-globales hasta revisión humana.</w:t>
      </w:r>
    </w:p>
    <w:sectPr w:rsidR="00FC693F" w:rsidRPr="0006063C" w:rsidSect="00034616"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Textiles Globales S.A. · Versión final revisada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LABORATORIO ACADÉMICO  |  EJERCICIO 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Solución académica — Textiles Globales S.A.</dc:title>
  <dc:subject>Factibilidad, arquitectura, DFD y UML</dc:subject>
  <dc:creator>Laboratorio académico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es-GT</dc:language>
</cp:coreProperties>
</file>