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rPr>
          <w:rFonts w:ascii="Nunito Light" w:cs="Nunito Light" w:eastAsia="Nunito Light" w:hAnsi="Nunito Light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100.0" w:type="pct"/>
        <w:tblLayout w:type="fixed"/>
        <w:tblLook w:val="0600"/>
      </w:tblPr>
      <w:tblGrid>
        <w:gridCol w:w="8145"/>
        <w:gridCol w:w="4095"/>
        <w:tblGridChange w:id="0">
          <w:tblGrid>
            <w:gridCol w:w="8145"/>
            <w:gridCol w:w="4095"/>
          </w:tblGrid>
        </w:tblGridChange>
      </w:tblGrid>
      <w:tr>
        <w:trPr>
          <w:trHeight w:val="23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Light" w:cs="Nunito Light" w:eastAsia="Nunito Light" w:hAnsi="Nunito Light"/>
                <w:sz w:val="60"/>
                <w:szCs w:val="60"/>
              </w:rPr>
            </w:pPr>
            <w:r w:rsidDel="00000000" w:rsidR="00000000" w:rsidRPr="00000000">
              <w:rPr>
                <w:rFonts w:ascii="Nunito Light" w:cs="Nunito Light" w:eastAsia="Nunito Light" w:hAnsi="Nunito Light"/>
                <w:sz w:val="60"/>
                <w:szCs w:val="60"/>
                <w:rtl w:val="0"/>
              </w:rPr>
              <w:t xml:space="preserve">Justin C. Moore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" w:cs="Nunito" w:eastAsia="Nunito" w:hAnsi="Nunito"/>
                <w:b w:val="1"/>
                <w:color w:val="7090ff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7090ff"/>
                <w:sz w:val="28"/>
                <w:szCs w:val="28"/>
                <w:rtl w:val="0"/>
              </w:rPr>
              <w:t xml:space="preserve">Senior UI System Architect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Light" w:cs="Nunito Light" w:eastAsia="Nunito Light" w:hAnsi="Nunito Light"/>
              </w:rPr>
            </w:pPr>
            <w:r w:rsidDel="00000000" w:rsidR="00000000" w:rsidRPr="00000000">
              <w:rPr>
                <w:rFonts w:ascii="Nunito Light" w:cs="Nunito Light" w:eastAsia="Nunito Light" w:hAnsi="Nunito Light"/>
                <w:rtl w:val="0"/>
              </w:rPr>
              <w:t xml:space="preserve">Investigator, thought leader, mentor, and force multiplier. Driving towards principled solutions while providing practical engineering trade-offs that consider business needs and organizational realities. Seeking opportunities to cultivate more capable software, people, teams, and cultures.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Light" w:cs="Nunito Light" w:eastAsia="Nunito Light" w:hAnsi="Nuni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135.0" w:type="dxa"/>
              <w:jc w:val="left"/>
              <w:tblInd w:w="210.0" w:type="dxa"/>
              <w:tblLayout w:type="fixed"/>
              <w:tblLook w:val="0600"/>
            </w:tblPr>
            <w:tblGrid>
              <w:gridCol w:w="2685"/>
              <w:gridCol w:w="450"/>
              <w:tblGridChange w:id="0">
                <w:tblGrid>
                  <w:gridCol w:w="2685"/>
                  <w:gridCol w:w="450"/>
                </w:tblGrid>
              </w:tblGridChange>
            </w:tblGrid>
            <w:tr>
              <w:trPr>
                <w:trHeight w:val="504" w:hRule="atLeast"/>
              </w:trPr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Nunito" w:cs="Nunito" w:eastAsia="Nunito" w:hAnsi="Nunit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28"/>
                      <w:szCs w:val="28"/>
                      <w:rtl w:val="0"/>
                    </w:rPr>
                    <w:t xml:space="preserve">recruit@jcmoore.dev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righ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228600" cy="228600"/>
                        <wp:effectExtent b="0" l="0" r="0" t="0"/>
                        <wp:docPr id="11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4" w:hRule="atLeast"/>
              </w:trPr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Nunito" w:cs="Nunito" w:eastAsia="Nunito" w:hAnsi="Nunit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28"/>
                      <w:szCs w:val="28"/>
                      <w:rtl w:val="0"/>
                    </w:rPr>
                    <w:t xml:space="preserve">708 / 420 - 5796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righ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228600" cy="22860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4" w:hRule="atLeast"/>
              </w:trPr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Nunito" w:cs="Nunito" w:eastAsia="Nunito" w:hAnsi="Nunit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28"/>
                      <w:szCs w:val="28"/>
                      <w:rtl w:val="0"/>
                    </w:rPr>
                    <w:t xml:space="preserve">Chicago, IL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righ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228600" cy="228600"/>
                        <wp:effectExtent b="0" l="0" r="0" t="0"/>
                        <wp:docPr id="28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4" w:hRule="atLeast"/>
              </w:trPr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Nunito" w:cs="Nunito" w:eastAsia="Nunito" w:hAnsi="Nunit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sz w:val="28"/>
                      <w:szCs w:val="28"/>
                      <w:rtl w:val="0"/>
                    </w:rPr>
                    <w:t xml:space="preserve">jcmoore.dev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righ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228600" cy="228600"/>
                        <wp:effectExtent b="0" l="0" r="0" t="0"/>
                        <wp:docPr id="22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Nunito Light" w:cs="Nunito Light" w:eastAsia="Nunito Light" w:hAnsi="Nunito Light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240.0" w:type="dxa"/>
        <w:jc w:val="left"/>
        <w:tblInd w:w="144.0" w:type="pct"/>
        <w:tblLayout w:type="fixed"/>
        <w:tblLook w:val="0600"/>
      </w:tblPr>
      <w:tblGrid>
        <w:gridCol w:w="8355"/>
        <w:gridCol w:w="3885"/>
        <w:tblGridChange w:id="0">
          <w:tblGrid>
            <w:gridCol w:w="8355"/>
            <w:gridCol w:w="3885"/>
          </w:tblGrid>
        </w:tblGridChange>
      </w:tblGrid>
      <w:tr>
        <w:tc>
          <w:tcPr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Light" w:cs="Nunito Light" w:eastAsia="Nunito Light" w:hAnsi="Nunito Ligh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380.0" w:type="dxa"/>
              <w:jc w:val="left"/>
              <w:tblInd w:w="660.0" w:type="dxa"/>
              <w:tblLayout w:type="fixed"/>
              <w:tblLook w:val="0600"/>
            </w:tblPr>
            <w:tblGrid>
              <w:gridCol w:w="2580"/>
              <w:gridCol w:w="2460"/>
              <w:gridCol w:w="1245"/>
              <w:gridCol w:w="1095"/>
              <w:tblGridChange w:id="0">
                <w:tblGrid>
                  <w:gridCol w:w="2580"/>
                  <w:gridCol w:w="2460"/>
                  <w:gridCol w:w="1245"/>
                  <w:gridCol w:w="1095"/>
                </w:tblGrid>
              </w:tblGridChange>
            </w:tblGrid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EXPERIENCE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b w:val="1"/>
                      <w:color w:val="7090ff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color w:val="7090ff"/>
                      <w:rtl w:val="0"/>
                    </w:rPr>
                    <w:t xml:space="preserve">Sr. Software Engineer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Light" w:cs="Nunito Light" w:eastAsia="Nunito Light" w:hAnsi="Nunito Light"/>
                      <w:i w:val="1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  <w:i w:val="1"/>
                      <w:rtl w:val="0"/>
                    </w:rPr>
                    <w:t xml:space="preserve">MediaMath, Inc.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3 / 2017  - 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Present</w:t>
                  </w:r>
                </w:p>
              </w:tc>
            </w:tr>
            <w:tr>
              <w:trPr>
                <w:trHeight w:val="245.92" w:hRule="atLeast"/>
              </w:trPr>
              <w:tc>
                <w:tcPr>
                  <w:gridSpan w:val="4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25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Propelled</w:t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  <w:rtl w:val="0"/>
                    </w:rPr>
                    <w:t xml:space="preserve"> efforts to establish an internal, company-wide, UX design system while building, testing, documenting, maintaining, and hardening a suite of reusable UI modules and React components.</w:t>
                  </w:r>
                </w:p>
              </w:tc>
            </w:tr>
            <w:tr>
              <w:trPr>
                <w:trHeight w:val="245.92" w:hRule="atLeast"/>
              </w:trPr>
              <w:tc>
                <w:tcPr>
                  <w:gridSpan w:val="4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25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Mentored</w:t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  <w:rtl w:val="0"/>
                    </w:rPr>
                    <w:t xml:space="preserve"> engineer peers during a transition from a legacy UI technology stack to a modern one.</w:t>
                  </w:r>
                </w:p>
              </w:tc>
            </w:tr>
            <w:tr>
              <w:trPr>
                <w:trHeight w:val="245.92" w:hRule="atLeast"/>
              </w:trPr>
              <w:tc>
                <w:tcPr>
                  <w:gridSpan w:val="4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25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Evangelized</w:t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  <w:rtl w:val="0"/>
                    </w:rPr>
                    <w:t xml:space="preserve"> newly discovered, systematic approaches to state-management through internal and external speaking engagements.</w:t>
                  </w:r>
                </w:p>
              </w:tc>
            </w:tr>
            <w:tr>
              <w:trPr>
                <w:trHeight w:val="245.92" w:hRule="atLeast"/>
              </w:trPr>
              <w:tc>
                <w:tcPr>
                  <w:gridSpan w:val="4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25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Persevered</w:t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  <w:rtl w:val="0"/>
                    </w:rPr>
                    <w:t xml:space="preserve"> through a from-scratch rebuild of a flagship web application and gained invaluable first-hand experience that supported some prior research of the risks of such an endeavor.</w:t>
                  </w:r>
                </w:p>
              </w:tc>
            </w:tr>
            <w:tr>
              <w:trPr>
                <w:trHeight w:val="245.92" w:hRule="atLeast"/>
              </w:trPr>
              <w:tc>
                <w:tcPr>
                  <w:gridSpan w:val="4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25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Committed</w:t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  <w:rtl w:val="0"/>
                    </w:rPr>
                    <w:t xml:space="preserve">, even when in disagreement..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7 / 2013  - 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righ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3 / 2017</w:t>
                  </w:r>
                </w:p>
              </w:tc>
            </w:tr>
            <w:tr>
              <w:trPr>
                <w:trHeight w:val="248.79999999999998" w:hRule="atLeast"/>
              </w:trPr>
              <w:tc>
                <w:tcPr>
                  <w:gridSpan w:val="4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70" w:right="0" w:hanging="225"/>
                    <w:jc w:val="left"/>
                    <w:rPr>
                      <w:rFonts w:ascii="Nunito Light" w:cs="Nunito Light" w:eastAsia="Nunito Light" w:hAnsi="Nunito Light"/>
                      <w:u w:val="none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Implemented</w:t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Roboto Mono Regular" w:cs="Roboto Mono Regular" w:eastAsia="Roboto Mono Regular" w:hAnsi="Roboto Mono Regular"/>
                      <w:rtl w:val="0"/>
                    </w:rPr>
                    <w:t xml:space="preserve">&lt;strand-grid /&gt;</w:t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  <w:rtl w:val="0"/>
                    </w:rPr>
                    <w:t xml:space="preserve"> and several of the other open-source Polymer components available at </w:t>
                  </w:r>
                  <w:hyperlink r:id="rId10">
                    <w:r w:rsidDel="00000000" w:rsidR="00000000" w:rsidRPr="00000000">
                      <w:rPr>
                        <w:rFonts w:ascii="Nunito Light" w:cs="Nunito Light" w:eastAsia="Nunito Light" w:hAnsi="Nunito Light"/>
                        <w:color w:val="1155cc"/>
                        <w:u w:val="single"/>
                        <w:rtl w:val="0"/>
                      </w:rPr>
                      <w:t xml:space="preserve">https://strand.mediamath.com/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.79999999999998" w:hRule="atLeast"/>
              </w:trPr>
              <w:tc>
                <w:tcPr>
                  <w:gridSpan w:val="4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25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Contributed</w:t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  <w:rtl w:val="0"/>
                    </w:rPr>
                    <w:t xml:space="preserve"> performance enhancements to Google’s Polymer Project as described by </w:t>
                  </w:r>
                  <w:hyperlink r:id="rId11">
                    <w:r w:rsidDel="00000000" w:rsidR="00000000" w:rsidRPr="00000000">
                      <w:rPr>
                        <w:rFonts w:ascii="Nunito Light" w:cs="Nunito Light" w:eastAsia="Nunito Light" w:hAnsi="Nunito Light"/>
                        <w:color w:val="1155cc"/>
                        <w:u w:val="single"/>
                        <w:rtl w:val="0"/>
                      </w:rPr>
                      <w:t xml:space="preserve">https://github.com/Polymer/polymer/issues/629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.79999999999998" w:hRule="atLeast"/>
              </w:trPr>
              <w:tc>
                <w:tcPr>
                  <w:gridSpan w:val="4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25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Collaborated</w:t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  <w:rtl w:val="0"/>
                    </w:rPr>
                    <w:t xml:space="preserve"> with engineer peers on various product teams to enhance legacy web applications by integrating Polymer components from the Strand library.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b w:val="1"/>
                      <w:color w:val="7090ff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color w:val="7090ff"/>
                      <w:rtl w:val="0"/>
                    </w:rPr>
                    <w:t xml:space="preserve">Engineering Co-Founder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Light" w:cs="Nunito Light" w:eastAsia="Nunito Light" w:hAnsi="Nunito Light"/>
                      <w:i w:val="1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  <w:i w:val="1"/>
                      <w:rtl w:val="0"/>
                    </w:rPr>
                    <w:t xml:space="preserve">Tap.Me, Inc.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6 - 2009  -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10 / 2012</w:t>
                  </w:r>
                </w:p>
              </w:tc>
            </w:tr>
            <w:tr>
              <w:tc>
                <w:tcPr>
                  <w:gridSpan w:val="4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25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Founded</w:t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  <w:rtl w:val="0"/>
                    </w:rPr>
                    <w:t xml:space="preserve"> the in-game advertising company which was ultimately acquired by MediaMath, Inc.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4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25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Engineered</w:t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  <w:rtl w:val="0"/>
                    </w:rPr>
                    <w:t xml:space="preserve"> games and technology across iOS, Android, and web using C++, Objective-C, Java, PHP, and JavaScript.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4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25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Created</w:t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  <w:rtl w:val="0"/>
                    </w:rPr>
                    <w:t xml:space="preserve"> in-house hybrid mobile application systems including hot code push and native bridging capabilities.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EDUCATION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b w:val="1"/>
                      <w:color w:val="7090ff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color w:val="7090ff"/>
                      <w:rtl w:val="0"/>
                    </w:rPr>
                    <w:t xml:space="preserve">Game Development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Light" w:cs="Nunito Light" w:eastAsia="Nunito Light" w:hAnsi="Nunito Light"/>
                      <w:i w:val="1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  <w:i w:val="1"/>
                      <w:rtl w:val="0"/>
                    </w:rPr>
                    <w:t xml:space="preserve">Flashpoint – Chicago, IL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9 / 2007  -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6 / 2009</w:t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b w:val="1"/>
                      <w:color w:val="7090ff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color w:val="7090ff"/>
                      <w:rtl w:val="0"/>
                    </w:rPr>
                    <w:t xml:space="preserve">Mechanical Engineering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Light" w:cs="Nunito Light" w:eastAsia="Nunito Light" w:hAnsi="Nunito Light"/>
                      <w:i w:val="1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  <w:i w:val="1"/>
                      <w:rtl w:val="0"/>
                    </w:rPr>
                    <w:t xml:space="preserve">M.I.T. – Cambridge, MA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9 / 2002  -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2 / 2007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030.0" w:type="dxa"/>
              <w:jc w:val="left"/>
              <w:tblLayout w:type="fixed"/>
              <w:tblLook w:val="0600"/>
            </w:tblPr>
            <w:tblGrid>
              <w:gridCol w:w="2010"/>
              <w:gridCol w:w="1020"/>
              <w:tblGridChange w:id="0">
                <w:tblGrid>
                  <w:gridCol w:w="2010"/>
                  <w:gridCol w:w="1020"/>
                </w:tblGrid>
              </w:tblGridChange>
            </w:tblGrid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LANGUAGES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JavaScript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1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4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4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23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HTML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2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41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1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CSS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1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1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3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TypeScript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3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19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Golang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3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33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Rust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FRAMEWORKS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React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4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30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5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2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Redux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1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46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5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Jest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5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1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Puppeteer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5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44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Node.js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3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16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SKILLS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Debugging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3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27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Comprehending 3</w:t>
                  </w:r>
                  <w:r w:rsidDel="00000000" w:rsidR="00000000" w:rsidRPr="00000000">
                    <w:rPr>
                      <w:rFonts w:ascii="Nunito" w:cs="Nunito" w:eastAsia="Nunito" w:hAnsi="Nunito"/>
                      <w:vertAlign w:val="superscript"/>
                      <w:rtl w:val="0"/>
                    </w:rPr>
                    <w:t xml:space="preserve">rd</w:t>
                  </w: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 Party Code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3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21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3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50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Reducing Dev Decision Fatigue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2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48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4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7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Managing Ambiguity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47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3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1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Collaborating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2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24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4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Nunito Light" w:cs="Nunito Light" w:eastAsia="Nunito Light" w:hAnsi="Nunito Light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18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ind w:left="270" w:hanging="225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center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rFonts w:ascii="Nunito Light" w:cs="Nunito Light" w:eastAsia="Nunito Light" w:hAnsi="Nunito Ligh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6.4" w:hRule="atLeast"/>
              </w:trPr>
              <w:tc>
                <w:tcPr>
                  <w:gridSpan w:val="2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ind w:left="270" w:hanging="225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INTERESTS</w:t>
                  </w:r>
                </w:p>
              </w:tc>
            </w:tr>
            <w:tr>
              <w:trPr>
                <w:trHeight w:val="306.4" w:hRule="atLeast"/>
              </w:trPr>
              <w:tc>
                <w:tcPr>
                  <w:gridSpan w:val="2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 w:hanging="180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Static Analysis &amp; Inference</w:t>
                  </w:r>
                </w:p>
              </w:tc>
            </w:tr>
            <w:tr>
              <w:trPr>
                <w:trHeight w:val="306.4" w:hRule="atLeast"/>
              </w:trPr>
              <w:tc>
                <w:tcPr>
                  <w:gridSpan w:val="2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 w:hanging="180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Persistent Data Structures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6.4" w:hRule="atLeast"/>
              </w:trPr>
              <w:tc>
                <w:tcPr>
                  <w:gridSpan w:val="2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 w:hanging="180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Distributed Consensus</w:t>
                  </w:r>
                </w:p>
              </w:tc>
            </w:tr>
            <w:tr>
              <w:trPr>
                <w:trHeight w:val="306.4" w:hRule="atLeast"/>
              </w:trPr>
              <w:tc>
                <w:tcPr>
                  <w:gridSpan w:val="2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 w:hanging="180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Gameplay Mechanics</w:t>
                  </w:r>
                </w:p>
              </w:tc>
            </w:tr>
            <w:tr>
              <w:trPr>
                <w:trHeight w:val="306.4" w:hRule="atLeast"/>
              </w:trPr>
              <w:tc>
                <w:tcPr>
                  <w:gridSpan w:val="2"/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 w:hanging="180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Pizza &amp; Karaoke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Light" w:cs="Nunito Light" w:eastAsia="Nunito Light" w:hAnsi="Nunito Ligh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before="200" w:lineRule="auto"/>
        <w:jc w:val="center"/>
        <w:rPr>
          <w:rFonts w:ascii="Nunito Light" w:cs="Nunito Light" w:eastAsia="Nunito Light" w:hAnsi="Nunito Light"/>
          <w:i w:val="1"/>
        </w:rPr>
      </w:pPr>
      <w:r w:rsidDel="00000000" w:rsidR="00000000" w:rsidRPr="00000000">
        <w:rPr>
          <w:rFonts w:ascii="Nunito Light" w:cs="Nunito Light" w:eastAsia="Nunito Light" w:hAnsi="Nunito Light"/>
          <w:i w:val="1"/>
          <w:rtl w:val="0"/>
        </w:rPr>
        <w:t xml:space="preserve">Contact information for several of my professional references is also available upon request.</w:t>
      </w:r>
    </w:p>
    <w:sectPr>
      <w:pgSz w:h="15840" w:w="12240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 Regula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olymer/polymer/issues/629" TargetMode="External"/><Relationship Id="rId10" Type="http://schemas.openxmlformats.org/officeDocument/2006/relationships/hyperlink" Target="https://strand.mediamath.com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RobotoMonoRegular-italic.ttf"/><Relationship Id="rId10" Type="http://schemas.openxmlformats.org/officeDocument/2006/relationships/font" Target="fonts/RobotoMonoRegular-bold.ttf"/><Relationship Id="rId12" Type="http://schemas.openxmlformats.org/officeDocument/2006/relationships/font" Target="fonts/RobotoMonoRegular-boldItalic.ttf"/><Relationship Id="rId9" Type="http://schemas.openxmlformats.org/officeDocument/2006/relationships/font" Target="fonts/RobotoMonoRegular-regular.ttf"/><Relationship Id="rId5" Type="http://schemas.openxmlformats.org/officeDocument/2006/relationships/font" Target="fonts/NunitoLight-regular.ttf"/><Relationship Id="rId6" Type="http://schemas.openxmlformats.org/officeDocument/2006/relationships/font" Target="fonts/NunitoLight-bold.ttf"/><Relationship Id="rId7" Type="http://schemas.openxmlformats.org/officeDocument/2006/relationships/font" Target="fonts/NunitoLight-italic.ttf"/><Relationship Id="rId8" Type="http://schemas.openxmlformats.org/officeDocument/2006/relationships/font" Target="fonts/Nuni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