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Calibri" w:hAnsi="Calibri"/>
          <w:b/>
          <w:color w:val="1B365D"/>
          <w:sz w:val="52"/>
        </w:rPr>
        <w:t>Informe Resumen del Proyecto</w:t>
      </w:r>
    </w:p>
    <w:p>
      <w:pPr>
        <w:spacing w:before="0" w:after="360"/>
      </w:pPr>
      <w:r>
        <w:rPr>
          <w:rFonts w:ascii="Calibri" w:hAnsi="Calibri"/>
          <w:i/>
          <w:color w:val="5C768D"/>
          <w:sz w:val="26"/>
        </w:rPr>
        <w:t>Plataformas Educativas Autosustentables basadas en IA e Historia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6"/>
        </w:rPr>
        <w:t>1. Resumen Ejecutivo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El presente proyecto contempla el diseño, despliegue y operación de portales educativos e interactivos de historia (con foco inicial en República Dominicana y expansión a Venezuela), constituidos bajo el modelo de Organización No Gubernamental (ONG) o iniciativa sin fines de lucro. El pilar fundamental es lograr la autosustentabilidad financiera y técnica a través de monetización no invasiva (Google AdSense), optimización de infraestructura en la nube y donaciones/subvenciones, permitiendo reinvertir el superávit en el desarrollo de nuevos portales académicos.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6"/>
        </w:rPr>
        <w:t>2. Modelo Institucional y Autosustentabilidad (ONG)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Enfoque Educativo y Social: </w:t>
      </w:r>
      <w:r>
        <w:rPr>
          <w:rFonts w:ascii="Calibri" w:hAnsi="Calibri"/>
          <w:color w:val="333333"/>
          <w:sz w:val="22"/>
        </w:rPr>
        <w:t>Permite acceder a programas como Google Ad Grants ($10,000 USD/mes en búsquedas para atracción de estudiantes) y créditos en la nube (AWS/Microsoft for Nonprofits).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Monetización Eficiente: </w:t>
      </w:r>
      <w:r>
        <w:rPr>
          <w:rFonts w:ascii="Calibri" w:hAnsi="Calibri"/>
          <w:color w:val="333333"/>
          <w:sz w:val="22"/>
        </w:rPr>
        <w:t>La combinación de tráfico orgánico SEO y consultas mediante asistente conversacional genera alta retención e impresiones publicitarias éticas.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Regla de Oro Operativa: </w:t>
      </w:r>
      <w:r>
        <w:rPr>
          <w:rFonts w:ascii="Calibri" w:hAnsi="Calibri"/>
          <w:color w:val="333333"/>
          <w:sz w:val="22"/>
        </w:rPr>
        <w:t>Garantizar que Ingresos ≥ Gastos Operativos, destinando el excedente a nuevos proyectos de alcance cultural y educativo.</w:t>
      </w: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6"/>
        </w:rPr>
        <w:t>3. Estimación Financiera y Comparativa de Mercado (Ecuación de Fermi)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333333"/>
          <w:sz w:val="22"/>
        </w:rPr>
        <w:t>Se analizó el potencial de tráfico y rentabilidad entre el proyecto piloto de Historia de República Dominicana y la expansión a Historia de Venezuela: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Métrica / Escenario</w:t>
            </w:r>
          </w:p>
        </w:tc>
        <w:tc>
          <w:tcPr>
            <w:tcW w:type="dxa" w:w="2340"/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Historia República Dominicana</w:t>
            </w:r>
          </w:p>
        </w:tc>
        <w:tc>
          <w:tcPr>
            <w:tcW w:type="dxa" w:w="2340"/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Historia Venezuela</w:t>
            </w:r>
          </w:p>
        </w:tc>
        <w:tc>
          <w:tcPr>
            <w:tcW w:type="dxa" w:w="2340"/>
            <w:shd w:fill="1B365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Factor Diferencial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Tráfico Promedio Mensual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80,000 - 250,000 PV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200,000 - 750,000 PV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Población objetivo ~3.5x mayor en Venezuela.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RPM Promedio Ponderado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$1.20 - $1.80 USD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$1.50 - $2.50 USD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Alto volumen de diáspora (EE. UU./España) eleva el RPM.</w:t>
            </w:r>
          </w:p>
        </w:tc>
      </w:tr>
      <w:tr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Ingreso Mensual Estimado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$120 - $450 USD / mes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$300 - $1,500+ USD / mes</w:t>
            </w:r>
          </w:p>
        </w:tc>
        <w:tc>
          <w:tcPr>
            <w:tcW w:type="dxa" w:w="234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20"/>
              </w:rPr>
              <w:t>Superávit directo para financiar infraestructura multi-sitio.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6"/>
        </w:rPr>
        <w:t>4. Arquitectura Tecnológica Sostenible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ChromaDB + Ollama: </w:t>
      </w:r>
      <w:r>
        <w:rPr>
          <w:rFonts w:ascii="Calibri" w:hAnsi="Calibri"/>
          <w:color w:val="333333"/>
          <w:sz w:val="22"/>
        </w:rPr>
        <w:t>Procesamiento de embeddings y motor RAG para respuestas precisas basadas en documentación histórica verificada.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Backend Unificado: </w:t>
      </w:r>
      <w:r>
        <w:rPr>
          <w:rFonts w:ascii="Calibri" w:hAnsi="Calibri"/>
          <w:color w:val="333333"/>
          <w:sz w:val="22"/>
        </w:rPr>
        <w:t>Construido en Python FastAPI para garantizar altísima velocidad con bajo consumo de CPU y memoria RAM.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/>
          <w:color w:val="222222"/>
          <w:sz w:val="22"/>
        </w:rPr>
        <w:t xml:space="preserve">Control de Costos Fijos: </w:t>
      </w:r>
      <w:r>
        <w:rPr>
          <w:rFonts w:ascii="Calibri" w:hAnsi="Calibri"/>
          <w:color w:val="333333"/>
          <w:sz w:val="22"/>
        </w:rPr>
        <w:t>Uso de Rate Limiting (15-20 consultas/hora por usuario anónimo) para evitar saturación y mantener costos fijos de servidor (~$20-$35 USD/mes).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