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X818d63c449cc42c14d06035da35231a299df72d"/>
    <w:p>
      <w:pPr>
        <w:pStyle w:val="Heading1"/>
      </w:pPr>
      <w:r>
        <w:t xml:space="preserve">Nota de sinergia — APER Bolivia 2026 ↔ ToR Consultor PSE/Repurposing</w:t>
      </w:r>
    </w:p>
    <w:p>
      <w:pPr>
        <w:pStyle w:val="FirstParagraph"/>
      </w:pPr>
      <w:r>
        <w:rPr>
          <w:b/>
          <w:bCs/>
        </w:rPr>
        <w:t xml:space="preserve">Documento:</w:t>
      </w:r>
      <w:r>
        <w:t xml:space="preserve"> </w:t>
      </w:r>
      <w:r>
        <w:rPr>
          <w:rStyle w:val="VerbatimChar"/>
        </w:rPr>
        <w:t xml:space="preserve">TORS FOR CONSULTANT INCLUDING REPURPOSING AND PSE ANALYSIS.docx</w:t>
      </w:r>
      <w:r>
        <w:t xml:space="preserve"> </w:t>
      </w:r>
      <w:r>
        <w:rPr>
          <w:b/>
          <w:bCs/>
        </w:rPr>
        <w:t xml:space="preserve">Coordinación BM:</w:t>
      </w:r>
      <w:r>
        <w:t xml:space="preserve"> </w:t>
      </w:r>
      <w:r>
        <w:t xml:space="preserve">Héctor Peña (contacto del ToR)</w:t>
      </w:r>
      <w:r>
        <w:t xml:space="preserve"> </w:t>
      </w:r>
      <w:r>
        <w:rPr>
          <w:b/>
          <w:bCs/>
        </w:rPr>
        <w:t xml:space="preserve">Duración consultoría STC:</w:t>
      </w:r>
      <w:r>
        <w:t xml:space="preserve"> </w:t>
      </w:r>
      <w:r>
        <w:t xml:space="preserve">20 días, presencial en La Paz para la capacitación</w:t>
      </w:r>
      <w:r>
        <w:t xml:space="preserve"> </w:t>
      </w:r>
      <w:r>
        <w:rPr>
          <w:b/>
          <w:bCs/>
        </w:rPr>
        <w:t xml:space="preserve">Fecha de la nota:</w:t>
      </w:r>
      <w:r>
        <w:t xml:space="preserve"> </w:t>
      </w:r>
      <w:r>
        <w:t xml:space="preserve">2026-04-27</w:t>
      </w:r>
    </w:p>
    <w:p>
      <w:r>
        <w:pict>
          <v:rect style="width:0;height:1.5pt" o:hralign="center" o:hrstd="t" o:hr="t"/>
        </w:pict>
      </w:r>
    </w:p>
    <w:bookmarkStart w:id="9" w:name="alcance-del-consultor-stc-resumen"/>
    <w:p>
      <w:pPr>
        <w:pStyle w:val="Heading2"/>
      </w:pPr>
      <w:r>
        <w:t xml:space="preserve">1. Alcance del consultor STC (resumen)</w:t>
      </w:r>
    </w:p>
    <w:p>
      <w:pPr>
        <w:pStyle w:val="FirstParagraph"/>
      </w:pPr>
      <w:r>
        <w:t xml:space="preserve">Tres objetivos: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33"/>
        <w:gridCol w:w="3443"/>
        <w:gridCol w:w="3443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Objetivo</w:t>
            </w:r>
          </w:p>
        </w:tc>
        <w:tc>
          <w:tcPr/>
          <w:p>
            <w:pPr>
              <w:pStyle w:val="Compact"/>
            </w:pPr>
            <w:r>
              <w:t xml:space="preserve">Producto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Analizar</w:t>
            </w:r>
            <w:r>
              <w:t xml:space="preserve"> </w:t>
            </w:r>
            <w:r>
              <w:rPr>
                <w:b/>
                <w:bCs/>
              </w:rPr>
              <w:t xml:space="preserve">PSE Bolivia</w:t>
            </w:r>
            <w:r>
              <w:t xml:space="preserve"> </w:t>
            </w:r>
            <w:r>
              <w:t xml:space="preserve">con estimaciones IDB-AgriMonitor (incluyendo edición febrero 2026)</w:t>
            </w:r>
          </w:p>
        </w:tc>
        <w:tc>
          <w:tcPr/>
          <w:p>
            <w:pPr>
              <w:pStyle w:val="Compact"/>
            </w:pPr>
            <w:r>
              <w:t xml:space="preserve">Reporte (PowerPoint) sobre nivel, distribución y proporcionalidad de PSE / GSSE / TSE / CSE en los últimos 5 años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b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Capacitación</w:t>
            </w:r>
            <w:r>
              <w:t xml:space="preserve"> </w:t>
            </w:r>
            <w:r>
              <w:t xml:space="preserve">al equipo gubernamental boliviano en metodología OECD-PSE (modalidad</w:t>
            </w:r>
            <w:r>
              <w:t xml:space="preserve"> </w:t>
            </w:r>
            <w:r>
              <w:rPr>
                <w:i/>
                <w:iCs/>
              </w:rPr>
              <w:t xml:space="preserve">learning by doing</w:t>
            </w:r>
            <w:r>
              <w:t xml:space="preserve">, ~2 semanas presenciales en La Paz)</w:t>
            </w:r>
          </w:p>
        </w:tc>
        <w:tc>
          <w:tcPr/>
          <w:p>
            <w:pPr>
              <w:pStyle w:val="Compact"/>
            </w:pPr>
            <w:r>
              <w:t xml:space="preserve">Sesión de entrenamiento en colección de datos, generación de estimaciones e interpretación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Estimar costo fiscal de</w:t>
            </w:r>
            <w:r>
              <w:t xml:space="preserve"> </w:t>
            </w:r>
            <w:r>
              <w:rPr>
                <w:b/>
                <w:bCs/>
              </w:rPr>
              <w:t xml:space="preserve">Repurposing</w:t>
            </w:r>
            <w:r>
              <w:t xml:space="preserve"> </w:t>
            </w:r>
            <w:r>
              <w:t xml:space="preserve">(i) reducir MPS considerando ingresos arancelarios perdidos; (ii) aumentar inversión en bienes públicos</w:t>
            </w:r>
          </w:p>
        </w:tc>
        <w:tc>
          <w:tcPr/>
          <w:p>
            <w:pPr>
              <w:pStyle w:val="Compact"/>
            </w:pPr>
            <w:r>
              <w:t xml:space="preserve">Reporte con estimaciones fiscales + benchmarking LAC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7" w:name="Xd3c65cdbc848c032745d303abb312b65ba939e7"/>
    <w:p>
      <w:pPr>
        <w:pStyle w:val="Heading2"/>
      </w:pPr>
      <w:r>
        <w:t xml:space="preserve">2. Lo que el APER 2026 YA tiene y le sirve al consultor STC</w:t>
      </w:r>
    </w:p>
    <w:bookmarkStart w:id="10" w:name="datos-psegssetse-listos-objetivo-a"/>
    <w:p>
      <w:pPr>
        <w:pStyle w:val="Heading3"/>
      </w:pPr>
      <w:r>
        <w:t xml:space="preserve">Datos PSE/GSSE/TSE listos (objetivo a)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88"/>
        <w:gridCol w:w="1643"/>
        <w:gridCol w:w="328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Dataset disponible</w:t>
            </w:r>
          </w:p>
        </w:tc>
        <w:tc>
          <w:tcPr/>
          <w:p>
            <w:pPr>
              <w:pStyle w:val="Compact"/>
            </w:pPr>
            <w:r>
              <w:t xml:space="preserve">Cobertura</w:t>
            </w:r>
          </w:p>
        </w:tc>
        <w:tc>
          <w:tcPr/>
          <w:p>
            <w:pPr>
              <w:pStyle w:val="Compact"/>
            </w:pPr>
            <w:r>
              <w:t xml:space="preserve">Uso para el consultor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pse_gsse_bolivia.rds</w:t>
            </w:r>
          </w:p>
        </w:tc>
        <w:tc>
          <w:tcPr/>
          <w:p>
            <w:pPr>
              <w:pStyle w:val="Compact"/>
            </w:pPr>
            <w:r>
              <w:t xml:space="preserve">2006-2023 (18 obs × 17 vars)</w:t>
            </w:r>
          </w:p>
        </w:tc>
        <w:tc>
          <w:tcPr/>
          <w:p>
            <w:pPr>
              <w:pStyle w:val="Compact"/>
            </w:pPr>
            <w:r>
              <w:t xml:space="preserve">Base directa para análisis IDB Bolivia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idb_agrimonitor_lac_full.rds</w:t>
            </w:r>
          </w:p>
        </w:tc>
        <w:tc>
          <w:tcPr/>
          <w:p>
            <w:pPr>
              <w:pStyle w:val="Compact"/>
            </w:pPr>
            <w:r>
              <w:t xml:space="preserve">1986-2024 (134 581 obs × 27 vars)</w:t>
            </w:r>
          </w:p>
        </w:tc>
        <w:tc>
          <w:tcPr/>
          <w:p>
            <w:pPr>
              <w:pStyle w:val="Compact"/>
            </w:pPr>
            <w:r>
              <w:t xml:space="preserve">Comparadores LAC sin necesidad de re-procesar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pse_gsse_lac_panel.rds</w:t>
            </w:r>
          </w:p>
        </w:tc>
        <w:tc>
          <w:tcPr/>
          <w:p>
            <w:pPr>
              <w:pStyle w:val="Compact"/>
            </w:pPr>
            <w:r>
              <w:t xml:space="preserve">2006-2023 × 10 países LAC</w:t>
            </w:r>
          </w:p>
        </w:tc>
        <w:tc>
          <w:tcPr/>
          <w:p>
            <w:pPr>
              <w:pStyle w:val="Compact"/>
            </w:pPr>
            <w:r>
              <w:t xml:space="preserve">Benchmarking horizontal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idb_psct_by_commodity.rds</w:t>
            </w:r>
          </w:p>
        </w:tc>
        <w:tc>
          <w:tcPr/>
          <w:p>
            <w:pPr>
              <w:pStyle w:val="Compact"/>
            </w:pPr>
            <w:r>
              <w:t xml:space="preserve">Bolivia × commodities</w:t>
            </w:r>
          </w:p>
        </w:tc>
        <w:tc>
          <w:tcPr/>
          <w:p>
            <w:pPr>
              <w:pStyle w:val="Compact"/>
            </w:pPr>
            <w:r>
              <w:t xml:space="preserve">Descomposición PSE por producto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idb_prices_gap_bolivia.rds</w:t>
            </w:r>
          </w:p>
        </w:tc>
        <w:tc>
          <w:tcPr/>
          <w:p>
            <w:pPr>
              <w:pStyle w:val="Compact"/>
            </w:pPr>
            <w:r>
              <w:t xml:space="preserve">2006-2023</w:t>
            </w:r>
          </w:p>
        </w:tc>
        <w:tc>
          <w:tcPr/>
          <w:p>
            <w:pPr>
              <w:pStyle w:val="Compact"/>
            </w:pPr>
            <w:r>
              <w:t xml:space="preserve">Brecha precios doméstico-frontera (= input MPS)</w:t>
            </w:r>
          </w:p>
        </w:tc>
      </w:tr>
    </w:tbl>
    <w:bookmarkEnd w:id="10"/>
    <w:bookmarkStart w:id="11" w:name="X32bb3d3ed0da872a2c13ac06a8ffed575bf7e4a"/>
    <w:p>
      <w:pPr>
        <w:pStyle w:val="Heading3"/>
      </w:pPr>
      <w:r>
        <w:t xml:space="preserve">NRP extendido pre-2006 (extiende el análisis MPS)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45"/>
        <w:gridCol w:w="3111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Dataset</w:t>
            </w:r>
          </w:p>
        </w:tc>
        <w:tc>
          <w:tcPr/>
          <w:p>
            <w:pPr>
              <w:pStyle w:val="Compact"/>
            </w:pPr>
            <w:r>
              <w:t xml:space="preserve">Cobertura</w:t>
            </w:r>
          </w:p>
        </w:tc>
        <w:tc>
          <w:tcPr/>
          <w:p>
            <w:pPr>
              <w:pStyle w:val="Compact"/>
            </w:pPr>
            <w:r>
              <w:t xml:space="preserve">Aporte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pse_nrp_extended.rds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1991-2024 × 7 commodities</w:t>
            </w:r>
          </w:p>
        </w:tc>
        <w:tc>
          <w:tcPr/>
          <w:p>
            <w:pPr>
              <w:pStyle w:val="Compact"/>
            </w:pPr>
            <w:r>
              <w:t xml:space="preserve">Serie histórica de protección 15 años antes de IDB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faostat_pp_bolivia.rds</w:t>
            </w:r>
          </w:p>
        </w:tc>
        <w:tc>
          <w:tcPr/>
          <w:p>
            <w:pPr>
              <w:pStyle w:val="Compact"/>
            </w:pPr>
            <w:r>
              <w:t xml:space="preserve">1991-2025 × 119 commodities</w:t>
            </w:r>
          </w:p>
        </w:tc>
        <w:tc>
          <w:tcPr/>
          <w:p>
            <w:pPr>
              <w:pStyle w:val="Compact"/>
            </w:pPr>
            <w:r>
              <w:t xml:space="preserve">Precios productor (input MPS)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wb_pink_sheet_agro.rds</w:t>
            </w:r>
          </w:p>
        </w:tc>
        <w:tc>
          <w:tcPr/>
          <w:p>
            <w:pPr>
              <w:pStyle w:val="Compact"/>
            </w:pPr>
            <w:r>
              <w:t xml:space="preserve">1960-2025</w:t>
            </w:r>
          </w:p>
        </w:tc>
        <w:tc>
          <w:tcPr/>
          <w:p>
            <w:pPr>
              <w:pStyle w:val="Compact"/>
            </w:pPr>
            <w:r>
              <w:t xml:space="preserve">Precios mundiales referencia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faostat_pp_lac.rds</w:t>
            </w:r>
          </w:p>
        </w:tc>
        <w:tc>
          <w:tcPr/>
          <w:p>
            <w:pPr>
              <w:pStyle w:val="Compact"/>
            </w:pPr>
            <w:r>
              <w:t xml:space="preserve">1991-2025 × 9 países LAC</w:t>
            </w:r>
          </w:p>
        </w:tc>
        <w:tc>
          <w:tcPr/>
          <w:p>
            <w:pPr>
              <w:pStyle w:val="Compact"/>
            </w:pPr>
            <w:r>
              <w:t xml:space="preserve">Comparadores regionales de precios</w:t>
            </w:r>
          </w:p>
        </w:tc>
      </w:tr>
    </w:tbl>
    <w:bookmarkEnd w:id="11"/>
    <w:bookmarkStart w:id="12" w:name="market-information-pedida-en-tor-2.1"/>
    <w:p>
      <w:pPr>
        <w:pStyle w:val="Heading3"/>
      </w:pPr>
      <w:r>
        <w:t xml:space="preserve">“Market information”</w:t>
      </w:r>
      <w:r>
        <w:t xml:space="preserve"> </w:t>
      </w:r>
      <w:r>
        <w:t xml:space="preserve">pedida en ToR § 2.1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72"/>
        <w:gridCol w:w="514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 del ToR</w:t>
            </w:r>
          </w:p>
        </w:tc>
        <w:tc>
          <w:tcPr/>
          <w:p>
            <w:pPr>
              <w:pStyle w:val="Compact"/>
            </w:pPr>
            <w:r>
              <w:t xml:space="preserve">Disponibilidad APER 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Producción y valor de commodities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ine_agro_stats_long.rds</w:t>
            </w:r>
            <w:r>
              <w:t xml:space="preserve"> </w:t>
            </w:r>
            <w:r>
              <w:t xml:space="preserve">(1984-2024),</w:t>
            </w:r>
            <w:r>
              <w:t xml:space="preserve"> </w:t>
            </w:r>
            <w:r>
              <w:rPr>
                <w:rStyle w:val="VerbatimChar"/>
              </w:rPr>
              <w:t xml:space="preserve">faostat_bolivia_qcl.rds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ine_campanas_long.rds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Precios productor commodities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faostat_pp_bolivia.rds</w:t>
            </w:r>
            <w:r>
              <w:t xml:space="preserve"> </w:t>
            </w:r>
            <w:r>
              <w:t xml:space="preserve">(119 commodities, 4 elementos)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Datos de consumo y feed</w:t>
            </w:r>
          </w:p>
        </w:tc>
        <w:tc>
          <w:tcPr/>
          <w:p>
            <w:pPr>
              <w:pStyle w:val="Compact"/>
            </w:pPr>
            <w:r>
              <w:t xml:space="preserve">🟡 vía FAOSTAT FBS (no procesado, pero scriptable)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Precios internacionales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wb_pink_sheet_agro.rds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Costos de transporte</w:t>
            </w:r>
          </w:p>
        </w:tc>
        <w:tc>
          <w:tcPr/>
          <w:p>
            <w:pPr>
              <w:pStyle w:val="Compact"/>
            </w:pPr>
            <w:r>
              <w:t xml:space="preserve">❌ Tier A pendiente (estimable vía FAOSTAT TCL)</w:t>
            </w:r>
          </w:p>
        </w:tc>
      </w:tr>
    </w:tbl>
    <w:bookmarkEnd w:id="12"/>
    <w:bookmarkStart w:id="13" w:name="trade-information-pedida-en-tor-2.2"/>
    <w:p>
      <w:pPr>
        <w:pStyle w:val="Heading3"/>
      </w:pPr>
      <w:r>
        <w:t xml:space="preserve">“Trade information”</w:t>
      </w:r>
      <w:r>
        <w:t xml:space="preserve"> </w:t>
      </w:r>
      <w:r>
        <w:t xml:space="preserve">pedida en ToR § 2.2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61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Estado en APER 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Exports/imports values y volumes</w:t>
            </w:r>
          </w:p>
        </w:tc>
        <w:tc>
          <w:tcPr/>
          <w:p>
            <w:pPr>
              <w:pStyle w:val="Compact"/>
            </w:pPr>
            <w:r>
              <w:t xml:space="preserve">🟡 FAOSTAT TCL parcialmente probado (gap A.4 en nuestra auditoría) — el consultor lo necesitará procesar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Tariff schedule</w:t>
            </w:r>
          </w:p>
        </w:tc>
        <w:tc>
          <w:tcPr/>
          <w:p>
            <w:pPr>
              <w:pStyle w:val="Compact"/>
            </w:pPr>
            <w:r>
              <w:t xml:space="preserve">❌ Pendiente — requiere ALADI / Aduana Nacional</w:t>
            </w:r>
          </w:p>
        </w:tc>
      </w:tr>
    </w:tbl>
    <w:bookmarkEnd w:id="13"/>
    <w:bookmarkStart w:id="14" w:name="Xe0d62e7af5762407dbda529611fbd062d1abf24"/>
    <w:p>
      <w:pPr>
        <w:pStyle w:val="Heading3"/>
      </w:pPr>
      <w:r>
        <w:t xml:space="preserve">“Budget support en sub-categorías OECD”</w:t>
      </w:r>
      <w:r>
        <w:t xml:space="preserve"> </w:t>
      </w:r>
      <w:r>
        <w:t xml:space="preserve">(ToR § 2.3)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25"/>
        <w:gridCol w:w="339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Sub-categoría OECD</w:t>
            </w:r>
          </w:p>
        </w:tc>
        <w:tc>
          <w:tcPr/>
          <w:p>
            <w:pPr>
              <w:pStyle w:val="Compact"/>
            </w:pPr>
            <w:r>
              <w:t xml:space="preserve">Disponibilidad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PSE (productor) — A1+A2+B+C+D+E+F</w:t>
            </w:r>
          </w:p>
        </w:tc>
        <w:tc>
          <w:tcPr/>
          <w:p>
            <w:pPr>
              <w:pStyle w:val="Compact"/>
            </w:pPr>
            <w:r>
              <w:t xml:space="preserve">✅ vía IDB AgriMonitor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GSSE (sectorial) — H+I+J+K+L+M+N</w:t>
            </w:r>
          </w:p>
        </w:tc>
        <w:tc>
          <w:tcPr/>
          <w:p>
            <w:pPr>
              <w:pStyle w:val="Compact"/>
            </w:pPr>
            <w:r>
              <w:t xml:space="preserve">✅ vía IDB AgriMonitor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CSE (consumidor)</w:t>
            </w:r>
          </w:p>
        </w:tc>
        <w:tc>
          <w:tcPr/>
          <w:p>
            <w:pPr>
              <w:pStyle w:val="Compact"/>
            </w:pPr>
            <w:r>
              <w:t xml:space="preserve">✅ vía IDB AgriMonitor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Cross-check con datos nacionales</w:t>
            </w:r>
          </w:p>
        </w:tc>
        <w:tc>
          <w:tcPr/>
          <w:p>
            <w:pPr>
              <w:pStyle w:val="Compact"/>
            </w:pPr>
            <w:r>
              <w:t xml:space="preserve">✅ panel v12 + BOOST 1996-2008 + VIPFE 1990-2024</w:t>
            </w:r>
          </w:p>
        </w:tc>
      </w:tr>
    </w:tbl>
    <w:bookmarkEnd w:id="14"/>
    <w:bookmarkStart w:id="15" w:name="ghg-emissions-agro-tor-2.4"/>
    <w:p>
      <w:pPr>
        <w:pStyle w:val="Heading3"/>
      </w:pPr>
      <w:r>
        <w:t xml:space="preserve">“GHG emissions agro”</w:t>
      </w:r>
      <w:r>
        <w:t xml:space="preserve"> </w:t>
      </w:r>
      <w:r>
        <w:t xml:space="preserve">(ToR § 2.4)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94"/>
        <w:gridCol w:w="452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GHG total Gg CO2e Bolivia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idb_agrimonitor</w:t>
            </w:r>
            <w:r>
              <w:t xml:space="preserve"> </w:t>
            </w:r>
            <w:r>
              <w:t xml:space="preserve">(var</w:t>
            </w:r>
            <w:r>
              <w:t xml:space="preserve"> </w:t>
            </w:r>
            <w:r>
              <w:rPr>
                <w:rStyle w:val="VerbatimChar"/>
              </w:rPr>
              <w:t xml:space="preserve">GHG_total_GgCO2e</w:t>
            </w:r>
            <w:r>
              <w:t xml:space="preserve">, 5 años 2019-2023)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Uso de fertilizantes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FAOSTAT QCL (kg/ha)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Uso de pesticidas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FAOSTAT (</w:t>
            </w:r>
            <w:r>
              <w:rPr>
                <w:rStyle w:val="VerbatimChar"/>
              </w:rPr>
              <w:t xml:space="preserve">use_of_pesticides_per_area_of_cropland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Cobertura del suelo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MapBiomas Bolivia Col.3 (1985-2024)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Deforestación anual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Hansen GFC v1.11 (2001-2023)</w:t>
            </w:r>
          </w:p>
        </w:tc>
      </w:tr>
    </w:tbl>
    <w:bookmarkEnd w:id="15"/>
    <w:bookmarkStart w:id="16" w:name="Xeadbf5bf4a5e2ae08ebc1a0ddb19332d82456be"/>
    <w:p>
      <w:pPr>
        <w:pStyle w:val="Heading3"/>
      </w:pPr>
      <w:r>
        <w:t xml:space="preserve">Documentos de soporte para Repurposing (objetivo c)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445"/>
        <w:gridCol w:w="247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Documento</w:t>
            </w:r>
          </w:p>
        </w:tc>
        <w:tc>
          <w:tcPr/>
          <w:p>
            <w:pPr>
              <w:pStyle w:val="Compact"/>
            </w:pPr>
            <w:r>
              <w:t xml:space="preserve">Uso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7 fichas MDRyT (PSARDI, PEI, RPC 2019/2021/2024, INIAF, CIPCA)</w:t>
            </w:r>
          </w:p>
        </w:tc>
        <w:tc>
          <w:tcPr/>
          <w:p>
            <w:pPr>
              <w:pStyle w:val="Compact"/>
            </w:pPr>
            <w:r>
              <w:t xml:space="preserve">Mapeo cualitativo de programas existentes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Inventario_Datos Excel (5 hojas)</w:t>
            </w:r>
          </w:p>
        </w:tc>
        <w:tc>
          <w:tcPr/>
          <w:p>
            <w:pPr>
              <w:pStyle w:val="Compact"/>
            </w:pPr>
            <w:r>
              <w:t xml:space="preserve">Catálogo institucional de gasto público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Timeline 1990-2025 (61 hitos)</w:t>
            </w:r>
          </w:p>
        </w:tc>
        <w:tc>
          <w:tcPr/>
          <w:p>
            <w:pPr>
              <w:pStyle w:val="Compact"/>
            </w:pPr>
            <w:r>
              <w:t xml:space="preserve">Contexto político de las medidas MPS (export bans, controles de precios)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BOOST 1996-2008 desagregado</w:t>
            </w:r>
          </w:p>
        </w:tc>
        <w:tc>
          <w:tcPr/>
          <w:p>
            <w:pPr>
              <w:pStyle w:val="Compact"/>
            </w:pPr>
            <w:r>
              <w:t xml:space="preserve">Línea base de gasto en bienes públicos pre-2009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MEFP Ejecucion 2015-2023</w:t>
            </w:r>
          </w:p>
        </w:tc>
        <w:tc>
          <w:tcPr/>
          <w:p>
            <w:pPr>
              <w:pStyle w:val="Compact"/>
            </w:pPr>
            <w:r>
              <w:t xml:space="preserve">Benchmark de tasas de ejecución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End w:id="17"/>
    <w:bookmarkStart w:id="18" w:name="Xde1cd86d15c34e7bf1ab1ae5f448e50e73c98cb"/>
    <w:p>
      <w:pPr>
        <w:pStyle w:val="Heading2"/>
      </w:pPr>
      <w:r>
        <w:t xml:space="preserve">3. Lo que el consultor STC produce y nos sirve a NOSOTROS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2520"/>
        <w:gridCol w:w="32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Producto del STC</w:t>
            </w:r>
          </w:p>
        </w:tc>
        <w:tc>
          <w:tcPr/>
          <w:p>
            <w:pPr>
              <w:pStyle w:val="Compact"/>
            </w:pPr>
            <w:r>
              <w:t xml:space="preserve">Insumo al APER 2026</w:t>
            </w:r>
          </w:p>
        </w:tc>
        <w:tc>
          <w:tcPr/>
          <w:p>
            <w:pPr>
              <w:pStyle w:val="Compact"/>
            </w:pPr>
            <w:r>
              <w:t xml:space="preserve">Capítulo APER beneficiado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Reporte IDB con estimaciones febrero 2026</w:t>
            </w:r>
          </w:p>
        </w:tc>
        <w:tc>
          <w:tcPr/>
          <w:p>
            <w:pPr>
              <w:pStyle w:val="Compact"/>
            </w:pPr>
            <w:r>
              <w:t xml:space="preserve">Actualización de PSE 2024 (un año más)</w:t>
            </w:r>
          </w:p>
        </w:tc>
        <w:tc>
          <w:tcPr/>
          <w:p>
            <w:pPr>
              <w:pStyle w:val="Compact"/>
            </w:pPr>
            <w:r>
              <w:t xml:space="preserve">Cap. 4a — PSE/GSSE/TSE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Estimación costo fiscal de reducir MPS</w:t>
            </w:r>
          </w:p>
        </w:tc>
        <w:tc>
          <w:tcPr/>
          <w:p>
            <w:pPr>
              <w:pStyle w:val="Compact"/>
            </w:pPr>
            <w:r>
              <w:t xml:space="preserve">Argumento cuantitativo de reforma</w:t>
            </w:r>
          </w:p>
        </w:tc>
        <w:tc>
          <w:tcPr/>
          <w:p>
            <w:pPr>
              <w:pStyle w:val="Compact"/>
            </w:pPr>
            <w:r>
              <w:t xml:space="preserve">Cap. 5 — Recomendaciones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Estimación costo aumento inv. en bienes públicos</w:t>
            </w:r>
          </w:p>
        </w:tc>
        <w:tc>
          <w:tcPr/>
          <w:p>
            <w:pPr>
              <w:pStyle w:val="Compact"/>
            </w:pPr>
            <w:r>
              <w:t xml:space="preserve">Cifra-meta para el Repurposing</w:t>
            </w:r>
          </w:p>
        </w:tc>
        <w:tc>
          <w:tcPr/>
          <w:p>
            <w:pPr>
              <w:pStyle w:val="Compact"/>
            </w:pPr>
            <w:r>
              <w:t xml:space="preserve">Cap. 5 — Recomendaciones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Benchmarking LAC del Repurposing</w:t>
            </w:r>
          </w:p>
        </w:tc>
        <w:tc>
          <w:tcPr/>
          <w:p>
            <w:pPr>
              <w:pStyle w:val="Compact"/>
            </w:pPr>
            <w:r>
              <w:t xml:space="preserve">Comparativa regional</w:t>
            </w:r>
          </w:p>
        </w:tc>
        <w:tc>
          <w:tcPr/>
          <w:p>
            <w:pPr>
              <w:pStyle w:val="Compact"/>
            </w:pPr>
            <w:r>
              <w:t xml:space="preserve">Cap. 4a — comparadores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Capacitación al MEFP/MDRyT (presencial La Paz)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Puede destrabar gap B.1</w:t>
            </w:r>
            <w:r>
              <w:t xml:space="preserve"> </w:t>
            </w:r>
            <w:r>
              <w:t xml:space="preserve">(datos institucionales 2009-2024)</w:t>
            </w:r>
          </w:p>
        </w:tc>
        <w:tc>
          <w:tcPr/>
          <w:p>
            <w:pPr>
              <w:pStyle w:val="Compact"/>
            </w:pPr>
            <w:r>
              <w:t xml:space="preserve">Cap. 3 — gasto institucional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Xb7734fd9a24cfd95b20715b1f5200123de0a455"/>
    <w:p>
      <w:pPr>
        <w:pStyle w:val="Heading2"/>
      </w:pPr>
      <w:r>
        <w:t xml:space="preserve">4. Áreas de overlap potencial — coordinación necesaria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79"/>
        <w:gridCol w:w="2318"/>
        <w:gridCol w:w="2704"/>
        <w:gridCol w:w="231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Tema</w:t>
            </w:r>
          </w:p>
        </w:tc>
        <w:tc>
          <w:tcPr/>
          <w:p>
            <w:pPr>
              <w:pStyle w:val="Compact"/>
            </w:pPr>
            <w:r>
              <w:t xml:space="preserve">APER 2026 (mi enfoque)</w:t>
            </w:r>
          </w:p>
        </w:tc>
        <w:tc>
          <w:tcPr/>
          <w:p>
            <w:pPr>
              <w:pStyle w:val="Compact"/>
            </w:pPr>
            <w:r>
              <w:t xml:space="preserve">Consultor STC (su enfoque)</w:t>
            </w:r>
          </w:p>
        </w:tc>
        <w:tc>
          <w:tcPr/>
          <w:p>
            <w:pPr>
              <w:pStyle w:val="Compact"/>
            </w:pPr>
            <w:r>
              <w:t xml:space="preserve">Acción de coordinación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MPS por commodity</w:t>
            </w:r>
          </w:p>
        </w:tc>
        <w:tc>
          <w:tcPr/>
          <w:p>
            <w:pPr>
              <w:pStyle w:val="Compact"/>
            </w:pPr>
            <w:r>
              <w:t xml:space="preserve">NRP histórico 1991-2024 vía precios FAO/WB</w:t>
            </w:r>
          </w:p>
        </w:tc>
        <w:tc>
          <w:tcPr/>
          <w:p>
            <w:pPr>
              <w:pStyle w:val="Compact"/>
            </w:pPr>
            <w:r>
              <w:t xml:space="preserve">PSE 2006-2024 vía IDB</w:t>
            </w:r>
          </w:p>
        </w:tc>
        <w:tc>
          <w:tcPr/>
          <w:p>
            <w:pPr>
              <w:pStyle w:val="Compact"/>
            </w:pPr>
            <w:r>
              <w:t xml:space="preserve">Asegurar</w:t>
            </w:r>
            <w:r>
              <w:t xml:space="preserve"> </w:t>
            </w:r>
            <w:r>
              <w:rPr>
                <w:b/>
                <w:bCs/>
              </w:rPr>
              <w:t xml:space="preserve">convergencia metodológica</w:t>
            </w:r>
            <w:r>
              <w:t xml:space="preserve">: que las cifras 2006-2024 coincidan en sentido y magnitud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Bienes públicos</w:t>
            </w:r>
          </w:p>
        </w:tc>
        <w:tc>
          <w:tcPr/>
          <w:p>
            <w:pPr>
              <w:pStyle w:val="Compact"/>
            </w:pPr>
            <w:r>
              <w:t xml:space="preserve">Lado del gasto: BOOST + VIPFE + MEFP</w:t>
            </w:r>
          </w:p>
        </w:tc>
        <w:tc>
          <w:tcPr/>
          <w:p>
            <w:pPr>
              <w:pStyle w:val="Compact"/>
            </w:pPr>
            <w:r>
              <w:t xml:space="preserve">Lado OECD-GSSE: clasificación A-N</w:t>
            </w:r>
          </w:p>
        </w:tc>
        <w:tc>
          <w:tcPr/>
          <w:p>
            <w:pPr>
              <w:pStyle w:val="Compact"/>
            </w:pPr>
            <w:r>
              <w:t xml:space="preserve">Acordar</w:t>
            </w:r>
            <w:r>
              <w:t xml:space="preserve"> </w:t>
            </w:r>
            <w:r>
              <w:rPr>
                <w:b/>
                <w:bCs/>
              </w:rPr>
              <w:t xml:space="preserve">mapeo UDAPE-FAM ↔ GSSE</w:t>
            </w:r>
            <w:r>
              <w:t xml:space="preserve"> </w:t>
            </w:r>
            <w:r>
              <w:t xml:space="preserve">para evitar doble conteo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GHG agro</w:t>
            </w:r>
          </w:p>
        </w:tc>
        <w:tc>
          <w:tcPr/>
          <w:p>
            <w:pPr>
              <w:pStyle w:val="Compact"/>
            </w:pPr>
            <w:r>
              <w:t xml:space="preserve">Macro: MapBiomas + Hansen + emisiones IDB</w:t>
            </w:r>
          </w:p>
        </w:tc>
        <w:tc>
          <w:tcPr/>
          <w:p>
            <w:pPr>
              <w:pStyle w:val="Compact"/>
            </w:pPr>
            <w:r>
              <w:t xml:space="preserve">Estimación específica por actividad</w:t>
            </w:r>
          </w:p>
        </w:tc>
        <w:tc>
          <w:tcPr/>
          <w:p>
            <w:pPr>
              <w:pStyle w:val="Compact"/>
            </w:pPr>
            <w:r>
              <w:t xml:space="preserve">Compartir factores de emisión usados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Repurposing</w:t>
            </w:r>
          </w:p>
        </w:tc>
        <w:tc>
          <w:tcPr/>
          <w:p>
            <w:pPr>
              <w:pStyle w:val="Compact"/>
            </w:pPr>
            <w:r>
              <w:t xml:space="preserve">No es el enfoque central del APER (queda como recomendación cualitativa)</w:t>
            </w:r>
          </w:p>
        </w:tc>
        <w:tc>
          <w:tcPr/>
          <w:p>
            <w:pPr>
              <w:pStyle w:val="Compact"/>
            </w:pPr>
            <w:r>
              <w:t xml:space="preserve">Es el output principal del STC</w:t>
            </w:r>
          </w:p>
        </w:tc>
        <w:tc>
          <w:tcPr/>
          <w:p>
            <w:pPr>
              <w:pStyle w:val="Compact"/>
            </w:pPr>
            <w:r>
              <w:t xml:space="preserve">El APER refiere al reporte STC para la cifra fiscal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Start w:id="20" w:name="X718972235f2dbcd783477da4ad3a55f1bebe410"/>
    <w:p>
      <w:pPr>
        <w:pStyle w:val="Heading2"/>
      </w:pPr>
      <w:r>
        <w:t xml:space="preserve">5. Productos compartibles (paquete de transferencia al consultor STC)</w:t>
      </w:r>
    </w:p>
    <w:p>
      <w:pPr>
        <w:pStyle w:val="FirstParagraph"/>
      </w:pPr>
      <w:r>
        <w:t xml:space="preserve">Si el consultor llega y necesita una caja de herramientas inicial, podemos entregarle en 1 día: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Sitio público</w:t>
      </w:r>
      <w:r>
        <w:t xml:space="preserve"> </w:t>
      </w:r>
      <w:r>
        <w:t xml:space="preserve">con todo el contexto: https://jcmunozmora.github.io/bolivia-wb-aper-2026/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Panel v12 + diccionario</w:t>
      </w:r>
      <w:r>
        <w:t xml:space="preserve">:</w:t>
      </w:r>
      <w:r>
        <w:t xml:space="preserve"> </w:t>
      </w:r>
      <w:r>
        <w:rPr>
          <w:rStyle w:val="VerbatimChar"/>
        </w:rPr>
        <w:t xml:space="preserve">01_data/processed/spending_panel_v12.rds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spending_panel_v12_dictionary.csv</w:t>
      </w:r>
      <w:r>
        <w:t xml:space="preserve"> </w:t>
      </w:r>
      <w:r>
        <w:t xml:space="preserve">(176 vars en 17 grupos clasificados)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5 datasets PSE/NRP</w:t>
      </w:r>
      <w:r>
        <w:t xml:space="preserve">:</w:t>
      </w:r>
      <w:r>
        <w:t xml:space="preserve"> </w:t>
      </w:r>
      <w:r>
        <w:rPr>
          <w:rStyle w:val="VerbatimChar"/>
        </w:rPr>
        <w:t xml:space="preserve">pse_gsse_bolivia.rds</w:t>
      </w:r>
      <w:r>
        <w:t xml:space="preserve">,</w:t>
      </w:r>
      <w:r>
        <w:t xml:space="preserve"> </w:t>
      </w:r>
      <w:r>
        <w:rPr>
          <w:rStyle w:val="VerbatimChar"/>
        </w:rPr>
        <w:t xml:space="preserve">pse_gsse_lac_panel.rds</w:t>
      </w:r>
      <w:r>
        <w:t xml:space="preserve">,</w:t>
      </w:r>
      <w:r>
        <w:t xml:space="preserve"> </w:t>
      </w:r>
      <w:r>
        <w:rPr>
          <w:rStyle w:val="VerbatimChar"/>
        </w:rPr>
        <w:t xml:space="preserve">idb_agrimonitor_lac_full.rds</w:t>
      </w:r>
      <w:r>
        <w:t xml:space="preserve">,</w:t>
      </w:r>
      <w:r>
        <w:t xml:space="preserve"> </w:t>
      </w:r>
      <w:r>
        <w:rPr>
          <w:rStyle w:val="VerbatimChar"/>
        </w:rPr>
        <w:t xml:space="preserve">pse_nrp_extended.rds</w:t>
      </w:r>
      <w:r>
        <w:t xml:space="preserve">,</w:t>
      </w:r>
      <w:r>
        <w:t xml:space="preserve"> </w:t>
      </w:r>
      <w:r>
        <w:rPr>
          <w:rStyle w:val="VerbatimChar"/>
        </w:rPr>
        <w:t xml:space="preserve">wb_pink_sheet_agro.rds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Inventario Excel</w:t>
      </w:r>
      <w:r>
        <w:t xml:space="preserve"> </w:t>
      </w:r>
      <w:r>
        <w:t xml:space="preserve">con 63 datasets, 23 gaps clasificados, 7 capítulos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Slides del kickoff BM</w:t>
      </w:r>
      <w:r>
        <w:t xml:space="preserve"> </w:t>
      </w:r>
      <w:r>
        <w:t xml:space="preserve">(20 láminas, 8 hallazgos cuantitativos)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Timeline interactivo</w:t>
      </w:r>
      <w:r>
        <w:t xml:space="preserve"> </w:t>
      </w:r>
      <w:r>
        <w:t xml:space="preserve">de política agropecuaria 1990-2025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Carta MEFP DS 28168</w:t>
      </w:r>
      <w:r>
        <w:t xml:space="preserve"> </w:t>
      </w:r>
      <w:r>
        <w:t xml:space="preserve">ya redactada — el consultor PSE en La Paz puede ser el canal natural para gestionarla</w:t>
      </w:r>
    </w:p>
    <w:p>
      <w:r>
        <w:pict>
          <v:rect style="width:0;height:1.5pt" o:hralign="center" o:hrstd="t" o:hr="t"/>
        </w:pict>
      </w:r>
    </w:p>
    <w:bookmarkEnd w:id="20"/>
    <w:bookmarkStart w:id="21" w:name="cronograma-sugerido-de-coordinación"/>
    <w:p>
      <w:pPr>
        <w:pStyle w:val="Heading2"/>
      </w:pPr>
      <w:r>
        <w:t xml:space="preserve">6. Cronograma sugerido de coordinación</w:t>
      </w:r>
    </w:p>
    <w:p>
      <w:pPr>
        <w:pStyle w:val="SourceCode"/>
      </w:pPr>
      <w:r>
        <w:rPr>
          <w:rStyle w:val="VerbatimChar"/>
        </w:rPr>
        <w:t xml:space="preserve">Sem 1 STC  · Plan de trabajo + recibo de paquete de datos APER 2026</w:t>
      </w:r>
      <w:r>
        <w:br/>
      </w:r>
      <w:r>
        <w:rPr>
          <w:rStyle w:val="VerbatimChar"/>
        </w:rPr>
        <w:t xml:space="preserve">Sem 2 STC  · Capacitación presencial La Paz (gestión paralela carta MEFP)</w:t>
      </w:r>
      <w:r>
        <w:br/>
      </w:r>
      <w:r>
        <w:rPr>
          <w:rStyle w:val="VerbatimChar"/>
        </w:rPr>
        <w:t xml:space="preserve">Sem 3 STC  · Análisis IDB + redacción reporte PSE</w:t>
      </w:r>
      <w:r>
        <w:br/>
      </w:r>
      <w:r>
        <w:rPr>
          <w:rStyle w:val="VerbatimChar"/>
        </w:rPr>
        <w:t xml:space="preserve">Sem 4 STC  · Estimación Repurposing + benchmarking LAC</w:t>
      </w:r>
      <w:r>
        <w:br/>
      </w:r>
      <w:r>
        <w:br/>
      </w:r>
      <w:r>
        <w:rPr>
          <w:rStyle w:val="VerbatimChar"/>
        </w:rPr>
        <w:t xml:space="preserve">APER 2026 paralelo:</w:t>
      </w:r>
      <w:r>
        <w:br/>
      </w:r>
      <w:r>
        <w:rPr>
          <w:rStyle w:val="VerbatimChar"/>
        </w:rPr>
        <w:t xml:space="preserve">- DEA bootstrap Simar-Wilson (independiente del STC)</w:t>
      </w:r>
      <w:r>
        <w:br/>
      </w:r>
      <w:r>
        <w:rPr>
          <w:rStyle w:val="VerbatimChar"/>
        </w:rPr>
        <w:t xml:space="preserve">- Reporte técnico Quarto book Cap. 2-4 (poblamiento)</w:t>
      </w:r>
      <w:r>
        <w:br/>
      </w:r>
      <w:r>
        <w:rPr>
          <w:rStyle w:val="VerbatimChar"/>
        </w:rPr>
        <w:t xml:space="preserve">- Cap. 5 Recomendaciones espera reporte STC para integrar cifra Repurposing</w:t>
      </w:r>
    </w:p>
    <w:p>
      <w:r>
        <w:pict>
          <v:rect style="width:0;height:1.5pt" o:hralign="center" o:hrstd="t" o:hr="t"/>
        </w:pict>
      </w:r>
    </w:p>
    <w:bookmarkEnd w:id="21"/>
    <w:bookmarkStart w:id="22" w:name="X8915003eb52a5bdddd8b3fce28a1da547cc254e"/>
    <w:p>
      <w:pPr>
        <w:pStyle w:val="Heading2"/>
      </w:pPr>
      <w:r>
        <w:t xml:space="preserve">7. Decisiones de coordinación recomendadas (a definir con Héctor Peña)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¿El reporte STC se incluye como anexo del APER 2026 o como documento autónomo?</w:t>
      </w:r>
    </w:p>
    <w:p>
      <w:pPr>
        <w:pStyle w:val="Compact"/>
        <w:numPr>
          <w:ilvl w:val="1"/>
          <w:numId w:val="1003"/>
        </w:numPr>
      </w:pPr>
      <w:r>
        <w:t xml:space="preserve">Recomendación: anexo metodológico + sección de recomendaciones del APER cita el reporte STC como fuente principal del costo fiscal.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¿La capacitación incluye a UDAPE / VIPFE / DGAA?</w:t>
      </w:r>
    </w:p>
    <w:p>
      <w:pPr>
        <w:pStyle w:val="Compact"/>
        <w:numPr>
          <w:ilvl w:val="1"/>
          <w:numId w:val="1004"/>
        </w:numPr>
      </w:pPr>
      <w:r>
        <w:t xml:space="preserve">Recomendación: sí — son los custodios de los datos que el APER necesita (gap B.1).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¿Quién gestiona la carta MEFP DS 28168 ya preparada?</w:t>
      </w:r>
    </w:p>
    <w:p>
      <w:pPr>
        <w:pStyle w:val="Compact"/>
        <w:numPr>
          <w:ilvl w:val="1"/>
          <w:numId w:val="1005"/>
        </w:numPr>
      </w:pPr>
      <w:r>
        <w:t xml:space="preserve">Recomendación: oficina BM Bolivia firma + Héctor Peña / consultor STC entregan en mano durante la capacitación.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¿El consultor STC tiene acceso al repo privado o público?</w:t>
      </w:r>
    </w:p>
    <w:p>
      <w:pPr>
        <w:pStyle w:val="Compact"/>
        <w:numPr>
          <w:ilvl w:val="1"/>
          <w:numId w:val="1006"/>
        </w:numPr>
      </w:pPr>
      <w:r>
        <w:t xml:space="preserve">Recomendación: público — todo está en https://github.com/jcmunozmora/bolivia-wb-aper-2026 + sitio Pages.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Convergencia metodológica MPS</w:t>
      </w:r>
      <w:r>
        <w:t xml:space="preserve"> </w:t>
      </w:r>
      <w:r>
        <w:t xml:space="preserve">— ¿se hace cross-check antes de cerrar reportes?</w:t>
      </w:r>
    </w:p>
    <w:p>
      <w:pPr>
        <w:pStyle w:val="Compact"/>
        <w:numPr>
          <w:ilvl w:val="1"/>
          <w:numId w:val="1007"/>
        </w:numPr>
      </w:pPr>
      <w:r>
        <w:t xml:space="preserve">Recomendación: una sesión técnica conjunta entre STC y APER 2026 al final de la capacitación (1-2 horas).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Conclusión:</w:t>
      </w:r>
      <w:r>
        <w:t xml:space="preserve"> </w:t>
      </w:r>
      <w:r>
        <w:t xml:space="preserve">Las dos consultorías son</w:t>
      </w:r>
      <w:r>
        <w:t xml:space="preserve"> </w:t>
      </w:r>
      <w:r>
        <w:rPr>
          <w:b/>
          <w:bCs/>
        </w:rPr>
        <w:t xml:space="preserve">fuertemente complementarias y no superpuestas</w:t>
      </w:r>
      <w:r>
        <w:t xml:space="preserve">. El APER 2026 ofrece la base de datos consolidada y el contexto narrativo; el STC PSE/Repurposing aporta las estimaciones OECD actualizadas y la cifra fiscal del Repurposing. Coordinándolas se obtiene un producto integrado más sólido del que produciría cualquiera de las dos por separado.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2026-04-30T19:15:01Z</dcterms:created>
  <dcterms:modified xsi:type="dcterms:W3CDTF">2026-04-30T19:15:01Z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