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Apéndice E — Panel departamental de efectos fijos: gasto y resultados</w:t>
      </w:r>
    </w:p>
    <w:p>
      <w:pPr>
        <w:pStyle w:val="Subtitle"/>
      </w:pPr>
      <w:r>
        <w:t xml:space="preserve">Especificación, tablas de coeficientes y robustez (soporte técnico de §5.4)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Tabla de contenidos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Este apéndice documenta el panel departamento-año de efectos fijos que sustenta la §5.4 del capítulo 5. Reúne la ecuación, la especificación, las tablas completas de coeficientes leídas de los RDS de resultados, y la totalidad de los caveats. La identificación es</w:t>
      </w:r>
      <w:r>
        <w:t xml:space="preserve"> </w:t>
      </w:r>
      <w:r>
        <w:rPr>
          <w:b/>
          <w:bCs/>
        </w:rPr>
        <w:t xml:space="preserve">asociativa, no causal</w:t>
      </w:r>
      <w:r>
        <w:t xml:space="preserve">, y todas las cifras se reproducen desde los</w:t>
      </w:r>
      <w:r>
        <w:t xml:space="preserve"> </w:t>
      </w:r>
      <w:r>
        <w:rPr>
          <w:rStyle w:val="VerbatimChar"/>
        </w:rPr>
        <w:t xml:space="preserve">panel_fe_*_results.rds</w:t>
      </w:r>
      <w:r>
        <w:t xml:space="preserve"> </w:t>
      </w:r>
      <w:r>
        <w:t xml:space="preserve">(scripts</w:t>
      </w:r>
      <w:r>
        <w:t xml:space="preserve"> </w:t>
      </w:r>
      <w:r>
        <w:rPr>
          <w:rStyle w:val="VerbatimChar"/>
        </w:rPr>
        <w:t xml:space="preserve">09</w:t>
      </w:r>
      <w:r>
        <w:t xml:space="preserve">,</w:t>
      </w:r>
      <w:r>
        <w:t xml:space="preserve"> </w:t>
      </w:r>
      <w:r>
        <w:rPr>
          <w:rStyle w:val="VerbatimChar"/>
        </w:rPr>
        <w:t xml:space="preserve">10</w:t>
      </w:r>
      <w:r>
        <w:t xml:space="preserve">,</w:t>
      </w:r>
      <w:r>
        <w:t xml:space="preserve"> </w:t>
      </w:r>
      <w:r>
        <w:rPr>
          <w:rStyle w:val="VerbatimChar"/>
        </w:rPr>
        <w:t xml:space="preserve">11</w:t>
      </w:r>
      <w:r>
        <w:t xml:space="preserve">) bajo la especificación fijada en el ADR-0018.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EB9113"/>
        </w:tblBorders>
        <w:tblCellMar>
          <w:left w:w="0" w:type="dxa"/>
          <w:right w:w="0" w:type="dxa"/>
        </w:tblCellMar>
        <w:tblInd w:w="164" w:type="dxa"/>
      </w:tblPr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warning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</w:p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Estado metodológico.</w:t>
            </w:r>
            <w:r>
              <w:t xml:space="preserve"> </w:t>
            </w:r>
            <w:r>
              <w:t xml:space="preserve">Los coeficientes son asociaciones condicionales una vez absorbidos los efectos fijos de departamento y año; no son efectos causales. La inferencia descansa en nueve departamentos (pocos clusters), por lo que los niveles de significancia cluster-robustos son anticonservadores. El gasto MEFP municipal solo está disponible desde 2016. Ver §E.5 para el listado completo de limitaciones.</w:t>
            </w:r>
          </w:p>
        </w:tc>
      </w:tr>
    </w:tbl>
    <w:bookmarkStart w:id="23" w:name="e.1-ecuación-del-panel-de-efectos-fijos"/>
    <w:p>
      <w:pPr>
        <w:pStyle w:val="Heading2"/>
      </w:pPr>
      <w:r>
        <w:t xml:space="preserve">1 E.1 Ecuación del panel de efectos fijos</w:t>
      </w:r>
    </w:p>
    <w:p>
      <w:pPr>
        <w:pStyle w:val="FirstParagraph"/>
      </w:pPr>
      <w:r>
        <w:t xml:space="preserve">La especificación base es un panel con efectos fijos de departamento y de año y errores cluster-robustos al nivel departamental: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r>
            <m:t>β</m:t>
          </m:r>
          <m:r>
            <m:t> </m:t>
          </m:r>
          <m:r>
            <m:rPr>
              <m:sty m:val="p"/>
            </m:rPr>
            <m:t>ln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</m:e>
          </m:d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X</m:t>
              </m:r>
            </m:e>
            <m:sub>
              <m:r>
                <m:t>i</m:t>
              </m:r>
              <m:r>
                <m:t>t</m:t>
              </m:r>
            </m:sub>
          </m:sSub>
          <m:r>
            <m:rPr>
              <m:sty m:val="p"/>
            </m:rPr>
            <m:t>′</m:t>
          </m:r>
          <m:r>
            <m:t>γ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τ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  <m:r>
                <m:t>t</m:t>
              </m:r>
            </m:sub>
          </m:sSub>
        </m:oMath>
      </m:oMathPara>
    </w:p>
    <w:p>
      <w:pPr>
        <w:pStyle w:val="FirstParagraph"/>
      </w:pPr>
      <w:r>
        <w:t xml:space="preserve">donde: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Y</m:t>
            </m:r>
          </m:e>
          <m:sub>
            <m:r>
              <m:t>i</m:t>
            </m:r>
            <m:r>
              <m:t>t</m:t>
            </m:r>
          </m:sub>
        </m:sSub>
      </m:oMath>
      <w:r>
        <w:t xml:space="preserve"> </w:t>
      </w:r>
      <w:r>
        <w:t xml:space="preserve">es el resultado del departamento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en el año</w:t>
      </w:r>
      <w:r>
        <w:t xml:space="preserve"> </w:t>
      </w:r>
      <m:oMath>
        <m:r>
          <m:t>t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ln</m:t>
        </m:r>
      </m:oMath>
      <w:r>
        <w:t xml:space="preserve">(producción agrícola / superficie cultivada) —productividad de la tierra, ton/ha, INE— en la especificación de productividad, e incidencia de pobreza departamental (moderada o extrema, INE) en la especificación de bienestar.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G</m:t>
            </m:r>
          </m:e>
          <m:sub>
            <m:r>
              <m:t>i</m:t>
            </m:r>
            <m:r>
              <m:t>t</m:t>
            </m:r>
          </m:sub>
        </m:sSub>
      </m:oMath>
      <w:r>
        <w:t xml:space="preserve"> </w:t>
      </w:r>
      <w:r>
        <w:t xml:space="preserve">es el gasto agropecuario en USD constantes de 2015. El insumo</w:t>
      </w:r>
      <w:r>
        <w:t xml:space="preserve"> </w:t>
      </w:r>
      <w:r>
        <w:rPr>
          <w:b/>
          <w:bCs/>
        </w:rPr>
        <w:t xml:space="preserve">principal</w:t>
      </w:r>
      <w:r>
        <w:t xml:space="preserve"> </w:t>
      </w:r>
      <w:r>
        <w:t xml:space="preserve">es el gasto agropecuario municipal ejecutado del MEFP (Presupuesto Abierto, devengado, 2016–2024); la serie consolidada de Jubileo (2012–2021) se usa como robustez y ventana larga.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b"/>
              </m:rPr>
              <m:t>X</m:t>
            </m:r>
          </m:e>
          <m:sub>
            <m:r>
              <m:t>i</m:t>
            </m:r>
            <m:r>
              <m:t>t</m:t>
            </m:r>
          </m:sub>
        </m:sSub>
      </m:oMath>
      <w:r>
        <w:t xml:space="preserve"> </w:t>
      </w:r>
      <w:r>
        <w:t xml:space="preserve">es la precipitación departamental (CHIRPS, en miles de mm).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α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son efectos fijos de departamento y</w:t>
      </w:r>
      <w:r>
        <w:t xml:space="preserve"> </w:t>
      </w:r>
      <m:oMath>
        <m:sSub>
          <m:e>
            <m:r>
              <m:t>τ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son efectos fijos de año.</w:t>
      </w:r>
    </w:p>
    <w:p>
      <w:pPr>
        <w:pStyle w:val="FirstParagraph"/>
      </w:pPr>
      <w:r>
        <w:t xml:space="preserve">Con</w:t>
      </w:r>
      <w:r>
        <w:t xml:space="preserve"> </w:t>
      </w:r>
      <m:oMath>
        <m:sSub>
          <m:e>
            <m:r>
              <m:t>τ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en la ecuación, los indicadores de timing fijo</w:t>
      </w:r>
      <w:r>
        <w:t xml:space="preserve"> </w:t>
      </w:r>
      <w:r>
        <w:rPr>
          <w:rStyle w:val="VerbatimChar"/>
        </w:rPr>
        <w:t xml:space="preserve">post_ley393</w:t>
      </w:r>
      <w:r>
        <w:t xml:space="preserve"> </w:t>
      </w:r>
      <w:r>
        <w:t xml:space="preserve">(Ley 393/2014) y</w:t>
      </w:r>
      <w:r>
        <w:t xml:space="preserve"> </w:t>
      </w:r>
      <w:r>
        <w:rPr>
          <w:rStyle w:val="VerbatimChar"/>
        </w:rPr>
        <w:t xml:space="preserve">covid</w:t>
      </w:r>
      <w:r>
        <w:t xml:space="preserve"> </w:t>
      </w:r>
      <w:r>
        <w:t xml:space="preserve">quedan colineales con los efectos de año; por ello solo se reportan en la variante con efectos fijos de departamento únicamente (M7).</w:t>
      </w:r>
    </w:p>
    <w:bookmarkEnd w:id="23"/>
    <w:bookmarkStart w:id="24" w:name="e.2-especificación-y-estimador"/>
    <w:p>
      <w:pPr>
        <w:pStyle w:val="Heading2"/>
      </w:pPr>
      <w:r>
        <w:t xml:space="preserve">2 E.2 Especificación y estimador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Componente</w:t>
            </w:r>
          </w:p>
        </w:tc>
        <w:tc>
          <w:tcPr/>
          <w:p>
            <w:pPr>
              <w:pStyle w:val="Compact"/>
            </w:pPr>
            <w:r>
              <w:t xml:space="preserve">Especificación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Unidad de análisis</w:t>
            </w:r>
          </w:p>
        </w:tc>
        <w:tc>
          <w:tcPr/>
          <w:p>
            <w:pPr>
              <w:pStyle w:val="Compact"/>
            </w:pPr>
            <w:r>
              <w:t xml:space="preserve">departamento × año (9 departamentos)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Resultado 1 (productividad)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ln(producción agrícola / superficie cultivada)</w:t>
            </w:r>
            <w:r>
              <w:t xml:space="preserve">, ton/ha (INE); robustez:</w:t>
            </w:r>
            <w:r>
              <w:t xml:space="preserve"> </w:t>
            </w:r>
            <w:r>
              <w:rPr>
                <w:rStyle w:val="VerbatimChar"/>
              </w:rPr>
              <w:t xml:space="preserve">ln(PIB agropecuario)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ln(rendimiento de cereales)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Resultado 2 (bienestar)</w:t>
            </w:r>
          </w:p>
        </w:tc>
        <w:tc>
          <w:tcPr/>
          <w:p>
            <w:pPr>
              <w:pStyle w:val="Compact"/>
            </w:pPr>
            <w:r>
              <w:t xml:space="preserve">incidencia de pobreza departamental moderada y extrema (INE, Encuestas de Hogares)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Insumo fiscal principal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ln(gasto agro municipal MEFP)</w:t>
            </w:r>
            <w:r>
              <w:t xml:space="preserve">, USD const. 2015, 2016–2024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Insumo fiscal robustez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ln(gasto agro Jubileo consolidado)</w:t>
            </w:r>
            <w:r>
              <w:t xml:space="preserve">, 2012–2021 (ventana larga)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 climático</w:t>
            </w:r>
          </w:p>
        </w:tc>
        <w:tc>
          <w:tcPr/>
          <w:p>
            <w:pPr>
              <w:pStyle w:val="Compact"/>
            </w:pPr>
            <w:r>
              <w:t xml:space="preserve">precipitación departamental (CHIRPS, miles mm)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Indicadores de timing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post_ley393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covid</w:t>
            </w:r>
            <w:r>
              <w:t xml:space="preserve"> </w:t>
            </w:r>
            <w:r>
              <w:t xml:space="preserve">— solo en variante con FE de departamento (M7)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Efectos fijos</w:t>
            </w:r>
          </w:p>
        </w:tc>
        <w:tc>
          <w:tcPr/>
          <w:p>
            <w:pPr>
              <w:pStyle w:val="Compact"/>
            </w:pPr>
            <w:r>
              <w:t xml:space="preserve">departamento + año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Errores estándar</w:t>
            </w:r>
          </w:p>
        </w:tc>
        <w:tc>
          <w:tcPr/>
          <w:p>
            <w:pPr>
              <w:pStyle w:val="Compact"/>
            </w:pPr>
            <w:r>
              <w:t xml:space="preserve">cluster-robustos por departamento (</w:t>
            </w:r>
            <w:r>
              <w:rPr>
                <w:rStyle w:val="VerbatimChar"/>
              </w:rPr>
              <w:t xml:space="preserve">sandwich::vcovCL</w:t>
            </w:r>
            <w:r>
              <w:t xml:space="preserve">, HC1/CR1)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Implementación</w:t>
            </w:r>
          </w:p>
        </w:tc>
        <w:tc>
          <w:tcPr/>
          <w:p>
            <w:pPr>
              <w:pStyle w:val="Compact"/>
            </w:pPr>
            <w:r>
              <w:t xml:space="preserve">base R</w:t>
            </w:r>
            <w:r>
              <w:t xml:space="preserve"> </w:t>
            </w:r>
            <w:r>
              <w:rPr>
                <w:rStyle w:val="VerbatimChar"/>
              </w:rPr>
              <w:t xml:space="preserve">lm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sandwich</w:t>
            </w:r>
            <w:r>
              <w:t xml:space="preserve">; inferencia con</w:t>
            </w:r>
            <w:r>
              <w:t xml:space="preserve"> </w:t>
            </w:r>
            <m:oMath>
              <m:r>
                <m:t>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</m:e>
              </m:d>
            </m:oMath>
          </w:p>
        </w:tc>
      </w:tr>
      <w:tr>
        <w:tc>
          <w:tcPr/>
          <w:p>
            <w:pPr>
              <w:pStyle w:val="Compact"/>
            </w:pPr>
            <w:r>
              <w:t xml:space="preserve">Identificación</w:t>
            </w:r>
          </w:p>
        </w:tc>
        <w:tc>
          <w:tcPr/>
          <w:p>
            <w:pPr>
              <w:pStyle w:val="Compact"/>
            </w:pPr>
            <w:r>
              <w:t xml:space="preserve">asociativa, no causal</w:t>
            </w:r>
          </w:p>
        </w:tc>
      </w:tr>
    </w:tbl>
    <w:p>
      <w:pPr>
        <w:pStyle w:val="BodyText"/>
      </w:pPr>
      <w:r>
        <w:rPr>
          <w:b/>
          <w:bCs/>
        </w:rPr>
        <w:t xml:space="preserve">Por qué base 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lm</w:t>
      </w:r>
      <w:r>
        <w:rPr>
          <w:b/>
          <w:bCs/>
        </w:rPr>
        <w:t xml:space="preserve"> </w:t>
      </w:r>
      <w:r>
        <w:rPr>
          <w:b/>
          <w:bCs/>
        </w:rPr>
        <w:t xml:space="preserve">y no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fixest</w:t>
      </w:r>
      <w:r>
        <w:rPr>
          <w:b/>
          <w:bCs/>
        </w:rPr>
        <w:t xml:space="preserve">.</w:t>
      </w:r>
      <w:r>
        <w:t xml:space="preserve"> </w:t>
      </w:r>
      <w:r>
        <w:t xml:space="preserve">El paquete</w:t>
      </w:r>
      <w:r>
        <w:t xml:space="preserve"> </w:t>
      </w:r>
      <w:r>
        <w:rPr>
          <w:rStyle w:val="VerbatimChar"/>
        </w:rPr>
        <w:t xml:space="preserve">fixest</w:t>
      </w:r>
      <w:r>
        <w:t xml:space="preserve"> </w:t>
      </w:r>
      <w:r>
        <w:t xml:space="preserve">no está instalado ni en el</w:t>
      </w:r>
      <w:r>
        <w:t xml:space="preserve"> </w:t>
      </w:r>
      <w:r>
        <w:rPr>
          <w:rStyle w:val="VerbatimChar"/>
        </w:rPr>
        <w:t xml:space="preserve">renv.lock</w:t>
      </w:r>
      <w:r>
        <w:t xml:space="preserve"> </w:t>
      </w:r>
      <w:r>
        <w:t xml:space="preserve">del proyecto; usarlo rompería el invariante de reproducibilidad. La combinación</w:t>
      </w:r>
      <w:r>
        <w:t xml:space="preserve"> </w:t>
      </w:r>
      <w:r>
        <w:rPr>
          <w:rStyle w:val="VerbatimChar"/>
        </w:rPr>
        <w:t xml:space="preserve">lm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sandwich::vcovCL</w:t>
      </w:r>
      <w:r>
        <w:t xml:space="preserve"> </w:t>
      </w:r>
      <w:r>
        <w:t xml:space="preserve">reproduce los efectos fijos bidireccionales (mediante dummies de departamento y año) y la matriz de covarianza cluster-robusta sin dependencias nuevas. La inferencia emplea la distribución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grados de libertad, consistente con el número de clusters.</w:t>
      </w:r>
    </w:p>
    <w:p>
      <w:pPr>
        <w:pStyle w:val="BodyText"/>
      </w:pPr>
      <w:r>
        <w:rPr>
          <w:b/>
          <w:bCs/>
        </w:rPr>
        <w:t xml:space="preserve">Dos series de gasto que no son intercambiables.</w:t>
      </w:r>
      <w:r>
        <w:t xml:space="preserve"> </w:t>
      </w:r>
      <w:r>
        <w:t xml:space="preserve">El gasto MEFP (municipal, devengado) y el gasto Jubileo (consolidado) correlacionan 0,75 en niveles pero solo</w:t>
      </w:r>
      <w:r>
        <w:t xml:space="preserve"> </w:t>
      </w:r>
      <w:r>
        <w:rPr>
          <w:b/>
          <w:bCs/>
        </w:rPr>
        <w:t xml:space="preserve">0,17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within-department</w:t>
      </w:r>
      <w:r>
        <w:t xml:space="preserve"> </w:t>
      </w:r>
      <w:r>
        <w:t xml:space="preserve">(variación año a año tras descontar la media departamental). Miden variación distinta y los resultados se leen por separado por fuente.</w:t>
      </w:r>
    </w:p>
    <w:bookmarkEnd w:id="24"/>
    <w:bookmarkStart w:id="28" w:name="X89f541f9e1c0a7f7b5e6bd89fe8d1b4dc13d862"/>
    <w:p>
      <w:pPr>
        <w:pStyle w:val="Heading2"/>
      </w:pPr>
      <w:r>
        <w:t xml:space="preserve">3 E.3 Resultados de NIVEL: el gasto total no se asocia con los resultados</w:t>
      </w:r>
    </w:p>
    <w:bookmarkStart w:id="25" w:name="e.3.1-productividad-de-la-tierra"/>
    <w:p>
      <w:pPr>
        <w:pStyle w:val="Heading3"/>
      </w:pPr>
      <w:r>
        <w:t xml:space="preserve">3.1 E.3.1 Productividad de la tierra</w:t>
      </w:r>
    </w:p>
    <w:p>
      <w:pPr>
        <w:pStyle w:val="SourceCode"/>
      </w:pPr>
      <w:r>
        <w:rPr>
          <w:rStyle w:val="NormalTok"/>
        </w:rPr>
        <w:t xml:space="preserve">pc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as.data.table</w:t>
      </w:r>
      <w:r>
        <w:rPr>
          <w:rStyle w:val="NormalTok"/>
        </w:rPr>
        <w:t xml:space="preserve">(prod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coef)</w:t>
      </w:r>
      <w:r>
        <w:br/>
      </w:r>
      <w:r>
        <w:rPr>
          <w:rStyle w:val="NormalTok"/>
        </w:rPr>
        <w:t xml:space="preserve">pc[, etiqueta </w:t>
      </w:r>
      <w:r>
        <w:rPr>
          <w:rStyle w:val="SpecialCharTok"/>
        </w:rPr>
        <w:t xml:space="preserve">:</w:t>
      </w:r>
      <w:r>
        <w:rPr>
          <w:rStyle w:val="Err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fcase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term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"ln_gasto_mefp"</w:t>
      </w:r>
      <w:r>
        <w:rPr>
          <w:rStyle w:val="NormalTok"/>
        </w:rPr>
        <w:t xml:space="preserve">,   </w:t>
      </w:r>
      <w:r>
        <w:rPr>
          <w:rStyle w:val="StringTok"/>
        </w:rPr>
        <w:t xml:space="preserve">"ln(gasto MEFP)"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term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"ln_gasto_jub"</w:t>
      </w:r>
      <w:r>
        <w:rPr>
          <w:rStyle w:val="NormalTok"/>
        </w:rPr>
        <w:t xml:space="preserve">,    </w:t>
      </w:r>
      <w:r>
        <w:rPr>
          <w:rStyle w:val="StringTok"/>
        </w:rPr>
        <w:t xml:space="preserve">"ln(gasto Jubileo)"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term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"ln_gasto_jub_l1"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"ln(gasto Jubileo, rezago)"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term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"ln_rural"</w:t>
      </w:r>
      <w:r>
        <w:rPr>
          <w:rStyle w:val="NormalTok"/>
        </w:rPr>
        <w:t xml:space="preserve">,        </w:t>
      </w:r>
      <w:r>
        <w:rPr>
          <w:rStyle w:val="StringTok"/>
        </w:rPr>
        <w:t xml:space="preserve">"ln(gasto rural amplio)"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term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"precip_k"</w:t>
      </w:r>
      <w:r>
        <w:rPr>
          <w:rStyle w:val="NormalTok"/>
        </w:rPr>
        <w:t xml:space="preserve">,        </w:t>
      </w:r>
      <w:r>
        <w:rPr>
          <w:rStyle w:val="StringTok"/>
        </w:rPr>
        <w:t xml:space="preserve">"precipitación (miles mm)"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term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"post_ley393"</w:t>
      </w:r>
      <w:r>
        <w:rPr>
          <w:rStyle w:val="NormalTok"/>
        </w:rPr>
        <w:t xml:space="preserve">,     </w:t>
      </w:r>
      <w:r>
        <w:rPr>
          <w:rStyle w:val="StringTok"/>
        </w:rPr>
        <w:t xml:space="preserve">"post Ley 393"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term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"covid"</w:t>
      </w:r>
      <w:r>
        <w:rPr>
          <w:rStyle w:val="NormalTok"/>
        </w:rPr>
        <w:t xml:space="preserve">,           </w:t>
      </w:r>
      <w:r>
        <w:rPr>
          <w:rStyle w:val="StringTok"/>
        </w:rPr>
        <w:t xml:space="preserve">"COVID"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default =</w:t>
      </w:r>
      <w:r>
        <w:rPr>
          <w:rStyle w:val="NormalTok"/>
        </w:rPr>
        <w:t xml:space="preserve"> term)]</w:t>
      </w:r>
      <w:r>
        <w:br/>
      </w:r>
      <w:r>
        <w:rPr>
          <w:rStyle w:val="NormalTok"/>
        </w:rPr>
        <w:t xml:space="preserve">pc[, valor </w:t>
      </w:r>
      <w:r>
        <w:rPr>
          <w:rStyle w:val="SpecialCharTok"/>
        </w:rPr>
        <w:t xml:space="preserve">:</w:t>
      </w:r>
      <w:r>
        <w:rPr>
          <w:rStyle w:val="Err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fmt_coef</w:t>
      </w:r>
      <w:r>
        <w:rPr>
          <w:rStyle w:val="NormalTok"/>
        </w:rPr>
        <w:t xml:space="preserve">(coef, se, p),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fmt_se</w:t>
      </w:r>
      <w:r>
        <w:rPr>
          <w:rStyle w:val="NormalTok"/>
        </w:rPr>
        <w:t xml:space="preserve">(se))]</w:t>
      </w:r>
      <w:r>
        <w:br/>
      </w:r>
      <w:r>
        <w:rPr>
          <w:rStyle w:val="NormalTok"/>
        </w:rPr>
        <w:t xml:space="preserve">pc[, pval </w:t>
      </w:r>
      <w:r>
        <w:rPr>
          <w:rStyle w:val="SpecialCharTok"/>
        </w:rPr>
        <w:t xml:space="preserve">:</w:t>
      </w:r>
      <w:r>
        <w:rPr>
          <w:rStyle w:val="Err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(p)]</w:t>
      </w:r>
      <w:r>
        <w:br/>
      </w:r>
      <w:r>
        <w:br/>
      </w:r>
      <w:r>
        <w:rPr>
          <w:rStyle w:val="NormalTok"/>
        </w:rPr>
        <w:t xml:space="preserve">prod_tbl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pc[, .(</w:t>
      </w:r>
      <w:r>
        <w:rPr>
          <w:rStyle w:val="AttributeTok"/>
        </w:rPr>
        <w:t xml:space="preserve">Modelo =</w:t>
      </w:r>
      <w:r>
        <w:rPr>
          <w:rStyle w:val="NormalTok"/>
        </w:rPr>
        <w:t xml:space="preserve"> model, Término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etiqueta,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Coef. (EE)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valor,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pval,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n)]</w:t>
      </w:r>
      <w:r>
        <w:br/>
      </w:r>
      <w:r>
        <w:br/>
      </w:r>
      <w:r>
        <w:rPr>
          <w:rStyle w:val="FunctionTok"/>
        </w:rPr>
        <w:t xml:space="preserve">gt</w:t>
      </w:r>
      <w:r>
        <w:rPr>
          <w:rStyle w:val="NormalTok"/>
        </w:rPr>
        <w:t xml:space="preserve">(prod_tbl)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tab_source_note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"Coeficiente con asteriscos de significancia (* p&lt;0,10; ** p&lt;0,05; *** p&lt;0,01), error estándar cluster-robusto entre paréntesis. Fuente: `01_data/processed/panel_fe_productivity_results.rds` (script 09)."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tab_options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table.font.size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data_row.padding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Modelo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Término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Coef. (EE)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M1 rend. ~ gasto MEFP + lluvia (PRINCIPAL, 2016-20)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ln(gasto MEFP)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0.005 (0.042)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M1 rend. ~ gasto MEFP + lluvia (PRINCIPAL, 2016-20)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precipitación (miles mm)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0.034 (0.551)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M2 rend. ~ gasto Jubileo + lluvia (ventana larga 2012-20)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ln(gasto Jubileo)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0.032 (0.026)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M2 rend. ~ gasto Jubileo + lluvia (ventana larga 2012-20)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precipitación (miles mm)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-0.093 (0.374)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M3 rend. ~ gasto Jubileo(L1) + lluvia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ln(gasto Jubileo, rezago)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0.039 (0.042)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M3 rend. ~ gasto Jubileo(L1) + lluvia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precipitación (miles mm)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-0.140 (0.375)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M4 rend. ~ gasto rural amplio + lluvia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ln(gasto rural amplio)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0.043 (0.056)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M4 rend. ~ gasto rural amplio + lluvia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precipitación (miles mm)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-0.062 (0.391)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M5 PIB agrop. ~ gasto + lluvia (2017-21)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ln(gasto Jubileo)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-0.016 (0.014)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M5 PIB agrop. ~ gasto + lluvia (2017-21)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precipitación (miles mm)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0.050 (0.219)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M6 rend. cereales ~ gasto MEFP + lluvia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ln(gasto MEFP)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0.025 (0.050)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M6 rend. cereales ~ gasto MEFP + lluvia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precipitación (miles mm)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-0.283 (0.230)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M7 rend. ~ gasto Jubileo + lluvia + Ley393 + COVID (FE dept)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ln(gasto Jubileo)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-0.007 (0.020)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M7 rend. ~ gasto Jubileo + lluvia + Ley393 + COVID (FE dept)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precipitación (miles mm)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-0.432 (0.394)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M7 rend. ~ gasto Jubileo + lluvia + Ley393 + COVID (FE dept)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post Ley 393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0.072* (0.036)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M7 rend. ~ gasto Jubileo + lluvia + Ley393 + COVID (FE dept)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COVID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0.029 (0.026)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81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Coeficiente con asteriscos de significancia (* p&lt;0,10; ** p&lt;0,05; *** p&lt;0,01), error estándar cluster-robusto entre paréntesis. Fuente: `01_data/processed/panel_fe_productivity_results.rds` (script 09).</w:t>
            </w:r>
          </w:p>
        </w:tc>
      </w:tr>
    </w:tbl>
    <w:p>
      <w:pPr>
        <w:pStyle w:val="FirstParagraph"/>
      </w:pPr>
      <w:r>
        <w:rPr>
          <w:b/>
          <w:bCs/>
        </w:rPr>
        <w:t xml:space="preserve">Lectura.</w:t>
      </w:r>
      <w:r>
        <w:t xml:space="preserve"> </w:t>
      </w:r>
      <w:r>
        <w:t xml:space="preserve">Ninguna variante del gasto alcanza significancia al 10% sobre la productividad de la tierra. En la especificación principal (M1, gasto MEFP 2016–2020) el coeficiente es +0,005 (p=0,90, N=45). Con la ventana larga de Jubileo (M2, 2012–2020) sube a +0,032 pero sigue sin significancia (p=0,25, N=81). Los outcomes alternativos —PIB agropecuario (M5) y rendimiento de cereales (M6)— y el gasto rural amplio (M4) confirman el nulo. La única asociación marginalmente significativa es</w:t>
      </w:r>
      <w:r>
        <w:t xml:space="preserve"> </w:t>
      </w:r>
      <w:r>
        <w:rPr>
          <w:rStyle w:val="VerbatimChar"/>
        </w:rPr>
        <w:t xml:space="preserve">post_ley393</w:t>
      </w:r>
      <w:r>
        <w:t xml:space="preserve"> </w:t>
      </w:r>
      <w:r>
        <w:t xml:space="preserve">en M7 (FE de departamento únicamente), que no altera la lectura del gasto.</w:t>
      </w:r>
    </w:p>
    <w:bookmarkEnd w:id="25"/>
    <w:bookmarkStart w:id="26" w:name="e.3.2-pobreza-departamental"/>
    <w:p>
      <w:pPr>
        <w:pStyle w:val="Heading3"/>
      </w:pPr>
      <w:r>
        <w:t xml:space="preserve">3.2 E.3.2 Pobreza departamental</w:t>
      </w:r>
    </w:p>
    <w:p>
      <w:pPr>
        <w:pStyle w:val="SourceCode"/>
      </w:pPr>
      <w:r>
        <w:rPr>
          <w:rStyle w:val="NormalTok"/>
        </w:rPr>
        <w:t xml:space="preserve">qc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as.data.table</w:t>
      </w:r>
      <w:r>
        <w:rPr>
          <w:rStyle w:val="NormalTok"/>
        </w:rPr>
        <w:t xml:space="preserve">(pov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coef)</w:t>
      </w:r>
      <w:r>
        <w:br/>
      </w:r>
      <w:r>
        <w:rPr>
          <w:rStyle w:val="NormalTok"/>
        </w:rPr>
        <w:t xml:space="preserve">qc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qc[term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"ln_gasto_mefp"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"ln_gasto_jub"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qc[, etiqueta </w:t>
      </w:r>
      <w:r>
        <w:rPr>
          <w:rStyle w:val="SpecialCharTok"/>
        </w:rPr>
        <w:t xml:space="preserve">:</w:t>
      </w:r>
      <w:r>
        <w:rPr>
          <w:rStyle w:val="Err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fifelse</w:t>
      </w:r>
      <w:r>
        <w:rPr>
          <w:rStyle w:val="NormalTok"/>
        </w:rPr>
        <w:t xml:space="preserve">(term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"ln_gasto_mefp"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"ln(gasto MEFP)"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"ln(gasto Jubileo)"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qc[, valor </w:t>
      </w:r>
      <w:r>
        <w:rPr>
          <w:rStyle w:val="SpecialCharTok"/>
        </w:rPr>
        <w:t xml:space="preserve">:</w:t>
      </w:r>
      <w:r>
        <w:rPr>
          <w:rStyle w:val="Err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fmt_coef</w:t>
      </w:r>
      <w:r>
        <w:rPr>
          <w:rStyle w:val="NormalTok"/>
        </w:rPr>
        <w:t xml:space="preserve">(coef, se, p),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fmt_se</w:t>
      </w:r>
      <w:r>
        <w:rPr>
          <w:rStyle w:val="NormalTok"/>
        </w:rPr>
        <w:t xml:space="preserve">(se))]</w:t>
      </w:r>
      <w:r>
        <w:br/>
      </w:r>
      <w:r>
        <w:rPr>
          <w:rStyle w:val="NormalTok"/>
        </w:rPr>
        <w:t xml:space="preserve">qc[, pval </w:t>
      </w:r>
      <w:r>
        <w:rPr>
          <w:rStyle w:val="SpecialCharTok"/>
        </w:rPr>
        <w:t xml:space="preserve">:</w:t>
      </w:r>
      <w:r>
        <w:rPr>
          <w:rStyle w:val="Err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(p)]</w:t>
      </w:r>
      <w:r>
        <w:br/>
      </w:r>
      <w:r>
        <w:br/>
      </w:r>
      <w:r>
        <w:rPr>
          <w:rStyle w:val="NormalTok"/>
        </w:rPr>
        <w:t xml:space="preserve">pov_tbl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qc[, .(</w:t>
      </w:r>
      <w:r>
        <w:rPr>
          <w:rStyle w:val="AttributeTok"/>
        </w:rPr>
        <w:t xml:space="preserve">Modelo =</w:t>
      </w:r>
      <w:r>
        <w:rPr>
          <w:rStyle w:val="NormalTok"/>
        </w:rPr>
        <w:t xml:space="preserve"> model,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Gasto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etiqueta,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Coef. (pp) (EE)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valor,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pval,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n)]</w:t>
      </w:r>
      <w:r>
        <w:br/>
      </w:r>
      <w:r>
        <w:br/>
      </w:r>
      <w:r>
        <w:rPr>
          <w:rStyle w:val="FunctionTok"/>
        </w:rPr>
        <w:t xml:space="preserve">gt</w:t>
      </w:r>
      <w:r>
        <w:rPr>
          <w:rStyle w:val="NormalTok"/>
        </w:rPr>
        <w:t xml:space="preserve">(pov_tbl)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tab_source_note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"Coeficiente en puntos porcentuales de incidencia de pobreza por unidad de ln(gasto); asteriscos de significancia (* p&lt;0,10; ** p&lt;0,05; *** p&lt;0,01), error estándar cluster-robusto entre paréntesis. Fuente: `01_data/processed/panel_fe_poverty_results.rds` (script 10)."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tab_options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table.font.size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data_row.padding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Modelo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Gasto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Coef. (pp) (EE)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P1 pobreza mod. ~ gasto MEFP (vigente 16-24)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ln(gasto MEFP)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1.525 (3.051)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P2 pobreza mod. ~ gasto MEFP + lluvia (PRINCIPAL)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ln(gasto MEFP)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1.240 (3.843)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P3 pobreza ext. ~ gasto MEFP + lluvia (vigente)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ln(gasto MEFP)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0.152 (3.079)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P4 pobreza mod. ~ gasto Jubileo + lluvia (vigente)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ln(gasto Jubileo)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-2.314* (1.215)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P5 pobreza mod. ~ gasto Jubileo + lluvia (antigua 12-18)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ln(gasto Jubileo)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-4.961*** (1.120)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P6 pobreza ext. ~ gasto Jubileo + lluvia (antigua)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ln(gasto Jubileo)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-3.680* (1.602)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57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Coeficiente en puntos porcentuales de incidencia de pobreza por unidad de ln(gasto); asteriscos de significancia (* p&lt;0,10; ** p&lt;0,05; *** p&lt;0,01), error estándar cluster-robusto entre paréntesis. Fuente: `01_data/processed/panel_fe_poverty_results.rds` (script 10).</w:t>
            </w:r>
          </w:p>
        </w:tc>
      </w:tr>
    </w:tbl>
    <w:p>
      <w:pPr>
        <w:pStyle w:val="FirstParagraph"/>
      </w:pPr>
      <w:r>
        <w:rPr>
          <w:b/>
          <w:bCs/>
        </w:rPr>
        <w:t xml:space="preserve">Lectura.</w:t>
      </w:r>
      <w:r>
        <w:t xml:space="preserve"> </w:t>
      </w:r>
      <w:r>
        <w:t xml:space="preserve">Con el dato oficial más reciente (gasto MEFP), el gasto no se asocia con la pobreza: el signo es incluso ligeramente positivo y sin significancia tanto en pobreza moderada (P2: +1,2 pp, p=0,76, N=72) como en extrema (P3: +0,2 pp, p=0,96, N=68). La asociación</w:t>
      </w:r>
      <w:r>
        <w:t xml:space="preserve"> </w:t>
      </w:r>
      <w:r>
        <w:rPr>
          <w:b/>
          <w:bCs/>
        </w:rPr>
        <w:t xml:space="preserve">negativa</w:t>
      </w:r>
      <w:r>
        <w:t xml:space="preserve"> </w:t>
      </w:r>
      <w:r>
        <w:t xml:space="preserve">aparece solo con la serie Jubileo: en la ventana antigua 2012–2018 alcanza −4,96 pp (P5, p&lt;0,01) en pobreza moderada y −3,68 pp (P6, p=0,05) en extrema, pero con Jubileo en la ventana reciente 2016–2021 cae a −2,31 pp y pierde significancia al 5% (P4, p=0,09). El signo depende de la fuente de gasto y de la ventana temporal:</w:t>
      </w:r>
      <w:r>
        <w:t xml:space="preserve"> </w:t>
      </w:r>
      <w:r>
        <w:rPr>
          <w:b/>
          <w:bCs/>
        </w:rPr>
        <w:t xml:space="preserve">el</w:t>
      </w:r>
      <w:r>
        <w:rPr>
          <w:b/>
          <w:bCs/>
        </w:rPr>
        <w:t xml:space="preserve"> </w:t>
      </w:r>
      <w:r>
        <w:rPr>
          <w:b/>
          <w:bCs/>
        </w:rPr>
        <w:t xml:space="preserve">“dividendo de pobreza”</w:t>
      </w:r>
      <w:r>
        <w:rPr>
          <w:b/>
          <w:bCs/>
        </w:rPr>
        <w:t xml:space="preserve"> </w:t>
      </w:r>
      <w:r>
        <w:rPr>
          <w:b/>
          <w:bCs/>
        </w:rPr>
        <w:t xml:space="preserve">del nivel de gasto no es un hallazgo robusto.</w:t>
      </w:r>
    </w:p>
    <w:bookmarkEnd w:id="26"/>
    <w:bookmarkStart w:id="27" w:name="X392db652dcea28197905a4ce6d73c3a6384fa15"/>
    <w:p>
      <w:pPr>
        <w:pStyle w:val="Heading3"/>
      </w:pPr>
      <w:r>
        <w:t xml:space="preserve">3.3 E.3.3 Las dos series de pobreza no se encadenan</w:t>
      </w:r>
    </w:p>
    <w:p>
      <w:pPr>
        <w:pStyle w:val="FirstParagraph"/>
      </w:pPr>
      <w:r>
        <w:t xml:space="preserve">La incidencia de pobreza departamental del INE proviene de dos metodologías de Canasta Básica Alimentaria que</w:t>
      </w:r>
      <w:r>
        <w:t xml:space="preserve"> </w:t>
      </w:r>
      <w:r>
        <w:rPr>
          <w:b/>
          <w:bCs/>
        </w:rPr>
        <w:t xml:space="preserve">no son encadenables</w:t>
      </w:r>
      <w:r>
        <w:t xml:space="preserve">: la serie antigua</w:t>
      </w:r>
      <w:r>
        <w:t xml:space="preserve"> </w:t>
      </w:r>
      <w:r>
        <w:rPr>
          <w:rStyle w:val="VerbatimChar"/>
        </w:rPr>
        <w:t xml:space="preserve">cba_2011_2018</w:t>
      </w:r>
      <w:r>
        <w:t xml:space="preserve"> </w:t>
      </w:r>
      <w:r>
        <w:t xml:space="preserve">y la vigente</w:t>
      </w:r>
      <w:r>
        <w:t xml:space="preserve"> </w:t>
      </w:r>
      <w:r>
        <w:rPr>
          <w:rStyle w:val="VerbatimChar"/>
        </w:rPr>
        <w:t xml:space="preserve">cba_2016_2024</w:t>
      </w:r>
      <w:r>
        <w:t xml:space="preserve">. El solape 2016–2018 muestra un salto de nivel de orden 4–9 pp atribuible al cambio metodológico, no a un cambio real de bienestar. Por ello cada serie se estima por separado y los coeficientes se leen dentro de su propia metodología; los modelos P1–P3 usan la canasta vigente y P5–P6 la antigua. La pobreza INE es</w:t>
      </w:r>
      <w:r>
        <w:t xml:space="preserve"> </w:t>
      </w:r>
      <w:r>
        <w:rPr>
          <w:b/>
          <w:bCs/>
        </w:rPr>
        <w:t xml:space="preserve">total</w:t>
      </w:r>
      <w:r>
        <w:t xml:space="preserve"> </w:t>
      </w:r>
      <w:r>
        <w:t xml:space="preserve">departamental, no rural: la incidencia rural por departamento solo vive en microdatos confidenciales fuera del repositorio.</w:t>
      </w:r>
    </w:p>
    <w:bookmarkEnd w:id="27"/>
    <w:bookmarkEnd w:id="28"/>
    <w:bookmarkStart w:id="33" w:name="Xd6d5012b3e55653aa6c74bdbd5bd7c1de1aab58"/>
    <w:p>
      <w:pPr>
        <w:pStyle w:val="Heading2"/>
      </w:pPr>
      <w:r>
        <w:t xml:space="preserve">4 E.4 Resultados de COMPOSICIÓN: el tipo de gasto sí importa</w:t>
      </w:r>
    </w:p>
    <w:p>
      <w:pPr>
        <w:pStyle w:val="SourceCode"/>
      </w:pPr>
      <w:r>
        <w:rPr>
          <w:rStyle w:val="NormalTok"/>
        </w:rPr>
        <w:t xml:space="preserve">bc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as.data.table</w:t>
      </w:r>
      <w:r>
        <w:rPr>
          <w:rStyle w:val="NormalTok"/>
        </w:rPr>
        <w:t xml:space="preserve">(btyp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coef)</w:t>
      </w:r>
      <w:r>
        <w:br/>
      </w:r>
      <w:r>
        <w:rPr>
          <w:rStyle w:val="NormalTok"/>
        </w:rPr>
        <w:t xml:space="preserve">bc[, etiqueta </w:t>
      </w:r>
      <w:r>
        <w:rPr>
          <w:rStyle w:val="SpecialCharTok"/>
        </w:rPr>
        <w:t xml:space="preserve">:</w:t>
      </w:r>
      <w:r>
        <w:rPr>
          <w:rStyle w:val="Err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fcase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term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"sh_tecnicos"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"participación I+D/extensión/sanidad"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term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"ln_total"</w:t>
      </w:r>
      <w:r>
        <w:rPr>
          <w:rStyle w:val="NormalTok"/>
        </w:rPr>
        <w:t xml:space="preserve">,    </w:t>
      </w:r>
      <w:r>
        <w:rPr>
          <w:rStyle w:val="StringTok"/>
        </w:rPr>
        <w:t xml:space="preserve">"ln(gasto total)"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term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"ln_tecnicos"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"ln(gasto I+D)"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term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"ln_apoyo"</w:t>
      </w:r>
      <w:r>
        <w:rPr>
          <w:rStyle w:val="NormalTok"/>
        </w:rPr>
        <w:t xml:space="preserve">,    </w:t>
      </w:r>
      <w:r>
        <w:rPr>
          <w:rStyle w:val="StringTok"/>
        </w:rPr>
        <w:t xml:space="preserve">"ln(gasto apoyo directo)"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term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"ln_riego"</w:t>
      </w:r>
      <w:r>
        <w:rPr>
          <w:rStyle w:val="NormalTok"/>
        </w:rPr>
        <w:t xml:space="preserve">,    </w:t>
      </w:r>
      <w:r>
        <w:rPr>
          <w:rStyle w:val="StringTok"/>
        </w:rPr>
        <w:t xml:space="preserve">"ln(gasto riego/infra)"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term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"precip_k"</w:t>
      </w:r>
      <w:r>
        <w:rPr>
          <w:rStyle w:val="NormalTok"/>
        </w:rPr>
        <w:t xml:space="preserve">,    </w:t>
      </w:r>
      <w:r>
        <w:rPr>
          <w:rStyle w:val="StringTok"/>
        </w:rPr>
        <w:t xml:space="preserve">"precipitación (miles mm)"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default =</w:t>
      </w:r>
      <w:r>
        <w:rPr>
          <w:rStyle w:val="NormalTok"/>
        </w:rPr>
        <w:t xml:space="preserve"> term)]</w:t>
      </w:r>
      <w:r>
        <w:br/>
      </w:r>
      <w:r>
        <w:rPr>
          <w:rStyle w:val="NormalTok"/>
        </w:rPr>
        <w:t xml:space="preserve">bc[, valor </w:t>
      </w:r>
      <w:r>
        <w:rPr>
          <w:rStyle w:val="SpecialCharTok"/>
        </w:rPr>
        <w:t xml:space="preserve">:</w:t>
      </w:r>
      <w:r>
        <w:rPr>
          <w:rStyle w:val="Err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fmt_coef</w:t>
      </w:r>
      <w:r>
        <w:rPr>
          <w:rStyle w:val="NormalTok"/>
        </w:rPr>
        <w:t xml:space="preserve">(coef, se, p),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fmt_se</w:t>
      </w:r>
      <w:r>
        <w:rPr>
          <w:rStyle w:val="NormalTok"/>
        </w:rPr>
        <w:t xml:space="preserve">(se))]</w:t>
      </w:r>
      <w:r>
        <w:br/>
      </w:r>
      <w:r>
        <w:rPr>
          <w:rStyle w:val="NormalTok"/>
        </w:rPr>
        <w:t xml:space="preserve">bc[, pval </w:t>
      </w:r>
      <w:r>
        <w:rPr>
          <w:rStyle w:val="SpecialCharTok"/>
        </w:rPr>
        <w:t xml:space="preserve">:</w:t>
      </w:r>
      <w:r>
        <w:rPr>
          <w:rStyle w:val="Err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(p)]</w:t>
      </w:r>
      <w:r>
        <w:br/>
      </w:r>
      <w:r>
        <w:rPr>
          <w:rStyle w:val="NormalTok"/>
        </w:rPr>
        <w:t xml:space="preserve">bc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bc[term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"precip_k"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comp_tbl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bc[, .(</w:t>
      </w:r>
      <w:r>
        <w:rPr>
          <w:rStyle w:val="AttributeTok"/>
        </w:rPr>
        <w:t xml:space="preserve">Modelo =</w:t>
      </w:r>
      <w:r>
        <w:rPr>
          <w:rStyle w:val="NormalTok"/>
        </w:rPr>
        <w:t xml:space="preserve"> model, Término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etiqueta,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Coef. (EE)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valor,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pval,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n)]</w:t>
      </w:r>
      <w:r>
        <w:br/>
      </w:r>
      <w:r>
        <w:br/>
      </w:r>
      <w:r>
        <w:rPr>
          <w:rStyle w:val="FunctionTok"/>
        </w:rPr>
        <w:t xml:space="preserve">gt</w:t>
      </w:r>
      <w:r>
        <w:rPr>
          <w:rStyle w:val="NormalTok"/>
        </w:rPr>
        <w:t xml:space="preserve">(comp_tbl)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tab_source_note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"Modelos BT1–BT3: participación de bienes públicos + nivel de gasto total. Modelos BT4–BT8: gasto por tipo individual (multicolineales entre sí). Coeficientes de pobreza en puntos porcentuales por unidad de participación (proporción 0–1); asteriscos (* p&lt;0,10; ** p&lt;0,05; *** p&lt;0,01); EE cluster-robusto entre paréntesis. Fuente: `01_data/processed/panel_fe_by_type_results.rds` (script 11) sobre `gasto_agro_prog_muni_grupo.rds` (MEFP, grupos MAFAP)."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tab_options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table.font.size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data_row.padding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Modelo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Término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Coef. (EE)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BT1 prod/ha ~ %I+D + total + lluvia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participación I+D/extensión/sanidad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-0.262 (0.176)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BT1 prod/ha ~ %I+D + total + lluvia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ln(gasto total)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0.015 (0.033)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BT2 pobreza mod ~ %I+D + total + lluvia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participación I+D/extensión/sanidad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-19.014* (9.680)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BT2 pobreza mod ~ %I+D + total + lluvia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ln(gasto total)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0.222 (3.345)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BT3 pobreza ext ~ %I+D + total + lluvia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participación I+D/extensión/sanidad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-17.833** (6.116)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BT3 pobreza ext ~ %I+D + total + lluvia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ln(gasto total)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-0.768 (3.073)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BT4 pobreza mod ~ gasto I+D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ln(gasto I+D)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-0.341 (1.396)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BT5 pobreza mod ~ gasto apoyo directo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ln(gasto apoyo directo)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1.573 (2.609)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BT6 pobreza mod ~ gasto riego/infra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ln(gasto riego/infra)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2.307 (1.674)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BT7 prod/ha ~ gasto I+D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ln(gasto I+D)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-0.043* (0.021)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BT8 prod/ha ~ gasto apoyo directo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ln(gasto apoyo directo)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0.003 (0.025)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Modelos BT1–BT3: participación de bienes públicos + nivel de gasto total. Modelos BT4–BT8: gasto por tipo individual (multicolineales entre sí). Coeficientes de pobreza en puntos porcentuales por unidad de participación (proporción 0–1); asteriscos (* p&lt;0,10; ** p&lt;0,05; *** p&lt;0,01); EE cluster-robusto entre paréntesis. Fuente: `01_data/processed/panel_fe_by_type_results.rds` (script 11) sobre `gasto_agro_prog_muni_grupo.rds` (MEFP, grupos MAFAP).</w:t>
            </w:r>
          </w:p>
        </w:tc>
      </w:tr>
    </w:tbl>
    <w:p>
      <w:pPr>
        <w:pStyle w:val="FirstParagraph"/>
      </w:pPr>
      <w:r>
        <w:rPr>
          <w:b/>
          <w:bCs/>
        </w:rPr>
        <w:t xml:space="preserve">Lectura.</w:t>
      </w:r>
      <w:r>
        <w:t xml:space="preserve"> </w:t>
      </w:r>
      <w:r>
        <w:t xml:space="preserve">A igual nivel de gasto total, una mayor participación de bienes públicos (I+D, extensión, sanidad) se asocia con menor pobreza departamental: −19,0 pp en pobreza moderada por una unidad de participación (BT2, p=0,085) y −17,8 pp en pobreza extrema (BT3, p=0,019), mientras el nivel de gasto total en el mismo modelo no se distingue de cero (+0,2 y −0,8, ambos ns). En orden de magnitud, reasignar ~10 puntos del gasto hacia bienes públicos —manteniendo constante el gasto total— se asocia con ~1,8–1,9 pp menos de pobreza. Las regresiones de nivel por tipo individual (BT4–BT8) son ruidosas y mayormente no significativas por la</w:t>
      </w:r>
      <w:r>
        <w:t xml:space="preserve"> </w:t>
      </w:r>
      <w:r>
        <w:rPr>
          <w:b/>
          <w:bCs/>
        </w:rPr>
        <w:t xml:space="preserve">multicolinealidad entre tipos de gasto</w:t>
      </w:r>
      <w:r>
        <w:t xml:space="preserve">: los cuatro grupos co-mueven a nivel departamental, lo que impide separar limpiamente el efecto de cada uno cuando se introducen como niveles. Por eso la especificación informativa es la de participación a gasto total constante (BT1–BT3), no la de niveles individuales.</w:t>
      </w:r>
    </w:p>
    <w:p>
      <w:pPr>
        <w:pStyle w:val="BodyText"/>
      </w:pPr>
      <w:r>
        <w:t xml:space="preserve">La</w:t>
      </w:r>
      <w:r>
        <w:t xml:space="preserve"> </w:t>
      </w:r>
      <w:hyperlink w:anchor="fig-e-avplot">
        <w:r>
          <w:rPr>
            <w:rStyle w:val="Hyperlink"/>
          </w:rPr>
          <w:t xml:space="preserve">Figura 1</w:t>
        </w:r>
      </w:hyperlink>
      <w:r>
        <w:t xml:space="preserve"> </w:t>
      </w:r>
      <w:r>
        <w:t xml:space="preserve">ilustra la relación parcial (after partialling-out de los efectos fijos, el gasto total y la precipitación) entre la participación de bienes públicos y la pobreza moderada: la pendiente del scatter equivale al coeficiente BT2.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e-avplot"/>
          <w:p>
            <w:pPr>
              <w:pStyle w:val="Compact"/>
              <w:jc w:val="center"/>
            </w:pPr>
            <w:r>
              <w:drawing>
                <wp:inline>
                  <wp:extent cx="5334000" cy="3514164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05_outputs/figures/fig43_composicion_pobreza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5141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Figura 1: Relación parcial entre la participación de bienes públicos y la pobreza moderada (panel FE departamento+año)</w:t>
            </w:r>
          </w:p>
          <w:bookmarkEnd w:id="32"/>
        </w:tc>
      </w:tr>
    </w:tbl>
    <w:bookmarkEnd w:id="33"/>
    <w:bookmarkStart w:id="34" w:name="e.5-caveats"/>
    <w:p>
      <w:pPr>
        <w:pStyle w:val="Heading2"/>
      </w:pPr>
      <w:r>
        <w:t xml:space="preserve">5 E.5 Caveats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Identificación asociativa, no causal.</w:t>
      </w:r>
      <w:r>
        <w:t xml:space="preserve"> </w:t>
      </w:r>
      <w:r>
        <w:t xml:space="preserve">Los coeficientes capturan correlación condicional tras absorber la heterogeneidad fija departamental y la tendencia temporal común; no identifican efectos causales.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Pocos clusters.</w:t>
      </w:r>
      <w:r>
        <w:t xml:space="preserve"> </w:t>
      </w:r>
      <w:r>
        <w:t xml:space="preserve">Con nueve departamentos, la inferencia cluster-robusta es anticonservadora. El</w:t>
      </w:r>
      <w:r>
        <w:t xml:space="preserve"> </w:t>
      </w:r>
      <w:r>
        <w:rPr>
          <w:b/>
          <w:bCs/>
        </w:rPr>
        <w:t xml:space="preserve">wild cluster bootstrap</w:t>
      </w:r>
      <w:r>
        <w:t xml:space="preserve"> </w:t>
      </w:r>
      <w:r>
        <w:t xml:space="preserve">(p.ej.</w:t>
      </w:r>
      <w:r>
        <w:t xml:space="preserve"> </w:t>
      </w:r>
      <w:r>
        <w:rPr>
          <w:rStyle w:val="VerbatimChar"/>
        </w:rPr>
        <w:t xml:space="preserve">fwildclusterboot</w:t>
      </w:r>
      <w:r>
        <w:t xml:space="preserve">) queda como refinamiento pendiente; los p-valores reportados se leen con esa salvedad.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Multicolinealidad de tipos de gasto.</w:t>
      </w:r>
      <w:r>
        <w:t xml:space="preserve"> </w:t>
      </w:r>
      <w:r>
        <w:t xml:space="preserve">Los cuatro grupos de gasto co-mueven a nivel departamental; los modelos de nivel por tipo individual (BT4–BT8) no permiten separar limpiamente el efecto de cada tipo. La especificación informativa es la de participación a gasto total constante.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Ventana del gasto MEFP.</w:t>
      </w:r>
      <w:r>
        <w:t xml:space="preserve"> </w:t>
      </w:r>
      <w:r>
        <w:t xml:space="preserve">El gasto agropecuario municipal del MEFP solo está disponible desde 2016 (la API no expone gestiones anteriores), lo que acota la ventana de la especificación principal a 2016–2024.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Dos series de gasto con baja correlación within-department.</w:t>
      </w:r>
      <w:r>
        <w:t xml:space="preserve"> </w:t>
      </w:r>
      <w:r>
        <w:t xml:space="preserve">MEFP (municipal) y Jubileo (consolidado) correlacionan solo 0,17</w:t>
      </w:r>
      <w:r>
        <w:t xml:space="preserve"> </w:t>
      </w:r>
      <w:r>
        <w:rPr>
          <w:i/>
          <w:iCs/>
        </w:rPr>
        <w:t xml:space="preserve">within-department</w:t>
      </w:r>
      <w:r>
        <w:t xml:space="preserve">: es además un caveat de calidad de medición del gasto subnacional.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Pobreza total, no rural; series no encadenables.</w:t>
      </w:r>
      <w:r>
        <w:t xml:space="preserve"> </w:t>
      </w:r>
      <w:r>
        <w:t xml:space="preserve">La pobreza INE es total departamental (la rural por departamento solo vive en microdatos confidenciales) y las dos metodologías de canasta básica no se encadenan; cada una se lee dentro de su metodología.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Productividad de la tierra como medida cruda.</w:t>
      </w:r>
      <w:r>
        <w:t xml:space="preserve"> </w:t>
      </w:r>
      <m:oMath>
        <m:r>
          <m:rPr>
            <m:sty m:val="p"/>
          </m:rPr>
          <m:t>ln</m:t>
        </m:r>
      </m:oMath>
      <w:r>
        <w:t xml:space="preserve">(producción/ha) agrega toneladas de cultivos heterogéneos; el PIB agropecuario, alternativa de valor agregado, tiene N corto (2017–2021).</w:t>
      </w:r>
    </w:p>
    <w:bookmarkEnd w:id="34"/>
    <w:bookmarkStart w:id="35" w:name="e.6-trazabilidad"/>
    <w:p>
      <w:pPr>
        <w:pStyle w:val="Heading2"/>
      </w:pPr>
      <w:r>
        <w:t xml:space="preserve">6 E.6 Trazabilidad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Resultado</w:t>
            </w:r>
          </w:p>
        </w:tc>
        <w:tc>
          <w:tcPr/>
          <w:p>
            <w:pPr>
              <w:pStyle w:val="Compact"/>
            </w:pPr>
            <w:r>
              <w:t xml:space="preserve">RDS</w:t>
            </w:r>
          </w:p>
        </w:tc>
        <w:tc>
          <w:tcPr/>
          <w:p>
            <w:pPr>
              <w:pStyle w:val="Compact"/>
            </w:pPr>
            <w:r>
              <w:t xml:space="preserve">Script</w:t>
            </w:r>
          </w:p>
        </w:tc>
        <w:tc>
          <w:tcPr/>
          <w:p>
            <w:pPr>
              <w:pStyle w:val="Compact"/>
            </w:pPr>
            <w:r>
              <w:t xml:space="preserve">Datos de entrada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Productividad (NIVEL)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panel_fe_productivity_results.rds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02_code/03_analysis/09_panel_fe_productivity.R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subnacional_productivity_panel.rds</w:t>
            </w:r>
            <w:r>
              <w:t xml:space="preserve"> </w:t>
            </w:r>
            <w:r>
              <w:t xml:space="preserve">(construido por</w:t>
            </w:r>
            <w:r>
              <w:t xml:space="preserve"> </w:t>
            </w:r>
            <w:r>
              <w:rPr>
                <w:rStyle w:val="VerbatimChar"/>
              </w:rPr>
              <w:t xml:space="preserve">12_build_productivity_panel.R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Pobreza (NIVEL)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panel_fe_poverty_results.rds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02_code/03_analysis/10_panel_fe_poverty.R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ine_pobreza_departamental.rds</w:t>
            </w:r>
            <w:r>
              <w:t xml:space="preserve"> </w:t>
            </w:r>
            <w:r>
              <w:t xml:space="preserve">(recolectado por</w:t>
            </w:r>
            <w:r>
              <w:t xml:space="preserve"> </w:t>
            </w:r>
            <w:r>
              <w:rPr>
                <w:rStyle w:val="VerbatimChar"/>
              </w:rPr>
              <w:t xml:space="preserve">34_ine_poverty_departamental.R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Composición (por tipo)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panel_fe_by_type_results.rds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02_code/03_analysis/11_panel_fe_by_type.R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gasto_agro_prog_muni_grupo.rds</w:t>
            </w:r>
            <w:r>
              <w:t xml:space="preserve"> </w:t>
            </w:r>
            <w:r>
              <w:t xml:space="preserve">(MEFP, grupos MAFAP)</w:t>
            </w:r>
          </w:p>
        </w:tc>
      </w:tr>
    </w:tbl>
    <w:p>
      <w:pPr>
        <w:pStyle w:val="BodyText"/>
      </w:pPr>
      <w:r>
        <w:t xml:space="preserve">Especificación canónica: ADR-0018. Insumo fiscal principal: gasto agropecuario municipal ejecutado del MEFP (Presupuesto Abierto, devengado, USD const. 2015, 2016–2024).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Apéndice E — Panel departamental de efectos fijos: gasto y resultados</dc:title>
  <dc:creator/>
  <dc:language>es</dc:language>
  <cp:keywords/>
  <dcterms:created xsi:type="dcterms:W3CDTF">2026-06-15T03:41:06Z</dcterms:created>
  <dcterms:modified xsi:type="dcterms:W3CDTF">2026-06-15T03:41:06Z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>04_report/references.bib</vt:lpwstr>
  </property>
  <property fmtid="{D5CDD505-2E9C-101B-9397-08002B2CF9AE}" pid="4" name="crossref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subtitle">
    <vt:lpwstr>Especificación, tablas de coeficientes y robustez (soporte técnico de §5.4)</vt:lpwstr>
  </property>
  <property fmtid="{D5CDD505-2E9C-101B-9397-08002B2CF9AE}" pid="10" name="toc-title">
    <vt:lpwstr>Tabla de contenidos</vt:lpwstr>
  </property>
</Properties>
</file>