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Apéndice A — Fuentes de información</w:t>
      </w:r>
    </w:p>
    <w:p>
      <w:pPr>
        <w:pStyle w:val="Subtitle"/>
      </w:pPr>
      <w:r>
        <w:t xml:space="preserve">Inventario de fuentes, cobertura geográfica y protocolo de limpieza de datos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Tabla de contenidos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</w:tblBorders>
        <w:tblCellMar>
          <w:left w:w="0" w:type="dxa"/>
          <w:right w:w="0" w:type="dxa"/>
        </w:tblCellMar>
        <w:tblInd w:w="164" w:type="dxa"/>
      </w:tblPr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</w:p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Fuente canónica de gobernanza:</w:t>
            </w:r>
            <w:r>
              <w:t xml:space="preserve"> </w:t>
            </w:r>
            <w:r>
              <w:t xml:space="preserve">este apéndice resume el inventario maestro de fuentes del estudio (</w:t>
            </w:r>
            <w:hyperlink r:id="rId23">
              <w:r>
                <w:rPr>
                  <w:rStyle w:val="VerbatimChar"/>
                </w:rPr>
                <w:t xml:space="preserve">.agent/03_FUENTES.md</w:t>
              </w:r>
            </w:hyperlink>
            <w:r>
              <w:t xml:space="preserve">) y el estado de cobertura y vacíos (</w:t>
            </w:r>
            <w:hyperlink r:id="rId24">
              <w:r>
                <w:rPr>
                  <w:rStyle w:val="VerbatimChar"/>
                </w:rPr>
                <w:t xml:space="preserve">00_admin/ESTADO_DE_DATOS.md</w:t>
              </w:r>
            </w:hyperlink>
            <w:r>
              <w:t xml:space="preserve">). Toda cifra del reporte es trazable a un dataset procesado, un script de ingesta y una fuente cruda inmutable; el detalle variable por variable vive en el diccionario del panel maestro.</w:t>
            </w:r>
          </w:p>
        </w:tc>
      </w:tr>
    </w:tbl>
    <w:bookmarkStart w:id="25" w:name="a.1-alcance-y-principios"/>
    <w:p>
      <w:pPr>
        <w:pStyle w:val="Heading2"/>
      </w:pPr>
      <w:r>
        <w:t xml:space="preserve">1 A.1 · Alcance y principios</w:t>
      </w:r>
    </w:p>
    <w:p>
      <w:pPr>
        <w:pStyle w:val="FirstParagraph"/>
      </w:pPr>
      <w:r>
        <w:t xml:space="preserve">El reporte se construye sobre un acervo de datos integrado de fuentes oficiales bolivianas, organismos multilaterales y productos geoespaciales abiertos. El acervo cubre el período 1990–2024 con distintas profundidades según la fuente, y combina niveles de desagregación que van del agregado nacional al municipio (339 unidades) y al microdato de unidad productiva.</w:t>
      </w:r>
    </w:p>
    <w:p>
      <w:pPr>
        <w:pStyle w:val="BodyText"/>
      </w:pPr>
      <w:r>
        <w:t xml:space="preserve">La construcción del acervo sigue seis principios operativos: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Inmutabilidad.</w:t>
      </w:r>
      <w:r>
        <w:t xml:space="preserve"> </w:t>
      </w:r>
      <w:r>
        <w:t xml:space="preserve">Cada fuente se descarga con fecha registrada a</w:t>
      </w:r>
      <w:r>
        <w:t xml:space="preserve"> </w:t>
      </w:r>
      <w:r>
        <w:rPr>
          <w:rStyle w:val="VerbatimChar"/>
        </w:rPr>
        <w:t xml:space="preserve">01_data/raw/&lt;fuente&gt;/</w:t>
      </w:r>
      <w:r>
        <w:t xml:space="preserve"> </w:t>
      </w:r>
      <w:r>
        <w:t xml:space="preserve">y no se edita. Un cambio en la fuente original dispara una nueva descarga versionada, no una sobre-escritura.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Licencia declarada.</w:t>
      </w:r>
      <w:r>
        <w:t xml:space="preserve"> </w:t>
      </w:r>
      <w:r>
        <w:t xml:space="preserve">Sin licencia clara, la fuente no entra al panel (ver A.6).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Fecha de descarga declarada.</w:t>
      </w:r>
      <w:r>
        <w:t xml:space="preserve"> </w:t>
      </w:r>
      <w:r>
        <w:t xml:space="preserve">La reproducibilidad requiere conocer la versión temporal de cada fuente.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Trazabilidad.</w:t>
      </w:r>
      <w:r>
        <w:t xml:space="preserve"> </w:t>
      </w:r>
      <w:r>
        <w:t xml:space="preserve">Cada fuente apunta al script que la transforma en dato procesado y a las variables del panel que produce.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Vacíos documentados.</w:t>
      </w:r>
      <w:r>
        <w:t xml:space="preserve"> </w:t>
      </w:r>
      <w:r>
        <w:t xml:space="preserve">Las fuentes faltantes o bloqueadas se registran de forma explícita (ver A.5), no se ocultan ni se imputan sin nota.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Fuente única de verdad.</w:t>
      </w:r>
      <w:r>
        <w:t xml:space="preserve"> </w:t>
      </w:r>
      <w:r>
        <w:t xml:space="preserve">La verdad cuantitativa del reporte es el panel maestro</w:t>
      </w:r>
      <w:r>
        <w:t xml:space="preserve"> </w:t>
      </w:r>
      <w:r>
        <w:rPr>
          <w:rStyle w:val="VerbatimChar"/>
        </w:rPr>
        <w:t xml:space="preserve">spending_panel_v12</w:t>
      </w:r>
      <w:r>
        <w:t xml:space="preserve"> </w:t>
      </w:r>
      <w:r>
        <w:t xml:space="preserve">(ver A.4); las cifras no se recalculan por fuera de él.</w:t>
      </w:r>
    </w:p>
    <w:bookmarkEnd w:id="25"/>
    <w:bookmarkStart w:id="30" w:name="a.2-inventario-de-fuentes"/>
    <w:p>
      <w:pPr>
        <w:pStyle w:val="Heading2"/>
      </w:pPr>
      <w:r>
        <w:t xml:space="preserve">2 A.2 · Inventario de fuentes</w:t>
      </w:r>
    </w:p>
    <w:p>
      <w:pPr>
        <w:pStyle w:val="FirstParagraph"/>
      </w:pPr>
      <w:r>
        <w:t xml:space="preserve">La</w:t>
      </w:r>
      <w:r>
        <w:t xml:space="preserve"> </w:t>
      </w:r>
      <w:hyperlink w:anchor="tbl-fuentes">
        <w:r>
          <w:rPr>
            <w:rStyle w:val="Hyperlink"/>
          </w:rPr>
          <w:t xml:space="preserve">Tabla 1</w:t>
        </w:r>
      </w:hyperlink>
      <w:r>
        <w:t xml:space="preserve"> </w:t>
      </w:r>
      <w:r>
        <w:t xml:space="preserve">resume las fuentes del estudio por tipo de dato, período cubierto y unidad geográfica de mayor desagregación disponible. La columna</w:t>
      </w:r>
      <w:r>
        <w:t xml:space="preserve"> </w:t>
      </w:r>
      <w:r>
        <w:rPr>
          <w:i/>
          <w:iCs/>
        </w:rPr>
        <w:t xml:space="preserve">Uso</w:t>
      </w:r>
      <w:r>
        <w:t xml:space="preserve"> </w:t>
      </w:r>
      <w:r>
        <w:t xml:space="preserve">indica el capítulo y, cuando aplica, el hallazgo (</w:t>
      </w:r>
      <w:r>
        <w:rPr>
          <w:rStyle w:val="VerbatimChar"/>
        </w:rPr>
        <w:t xml:space="preserve">F01</w:t>
      </w:r>
      <w:r>
        <w:t xml:space="preserve">–</w:t>
      </w:r>
      <w:r>
        <w:rPr>
          <w:rStyle w:val="VerbatimChar"/>
        </w:rPr>
        <w:t xml:space="preserve">F08</w:t>
      </w:r>
      <w:r>
        <w:t xml:space="preserve">) que la fuente sustenta.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tbl-fuentes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Tabla 1: Inventario de fuentes de información del APER 2026.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7"/>
              <w:gridCol w:w="1397"/>
              <w:gridCol w:w="2329"/>
              <w:gridCol w:w="1397"/>
              <w:gridCol w:w="139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Fuente (proveedor)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Tipo de dato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Período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Unidad geográfica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MEFP — VIPFE (inversión pública)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Gasto e inversión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1990–2024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Nacional, sectorial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Cap. 3–4; F01, F05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MEFP — Presupuesto Abierto (devengado)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Gasto e inversión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2016–2025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Nacional, por entidad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Cap. 3–4; F05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Banco Mundial — BOOST Bolivia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Gasto e inversión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1996–2024 (detalle 1996–2008)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Nacional, funcional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Cap.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Fundación Jubileo / SIIF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Gasto subnacional (POA)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2012–2021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Departamental y municipal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Cap. 4; F07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MDRyT — RPC y Memorias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Ejecución y contexto institucional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2014, 2019, 2021, 2024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Nacional, por programa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Cap. 3; F07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INIAF — Memoria Institucional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I+D y extensión (snapshot)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2019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Nacional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Cap.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EMAPA — informes de gestión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Gasto en bienes y servicios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2008–2024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Nacional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Cap.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INE — Estadísticas Agrícolas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Producción agropecuaria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1984–2024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Departamental × cultivo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Cap. 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INE — Censo Nacional Agropecuario (CNA)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Estructura productiva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2013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Municipal (UPA)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Cap. 2, 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INE — Encuesta Agropecuaria (ENA)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Estructura productiva (microdato)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2008, 2015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UPA (muestral)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Cap. 2, 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FAO — FAOSTAT (QCL, TCL, FBS)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Producción y comercio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1961–2024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Nacional / multipaís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Cap. 2; F03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USDA-ERS — Productividad (TFP)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Productividad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1961–2023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Nacional / LAC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Cap. 2; F01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BID — AgriMonitor (PSE/GSSE/MPS)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Precios y apoyo (metodología OCDE)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1986–2024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Nacional / LAC (10 países)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Cap. 5; F02, F03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FAO — FAOSTAT Precios al Productor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Precios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1991–2024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Nacional × commodity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Cap. 5; F03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Banco Mundial — Pink Sheet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Precios de referencia internacional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1960–2024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Global (commodity)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Cap. 5 (insumo MPS/NRP)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OCDE — PSE Database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Apoyo (benchmark internacional)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1986–2024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Multipaís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Cap. 5 (comparadores)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BCB — Boletín Estadístico (T.3.02)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Crédito sectorial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2010–2025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Nacional × sector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Cap. 3; F05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MapBiomas Bolivia (Col. 3)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Uso del suelo (30 m)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1985–2024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Municipal / raster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Cap. 2, 4; F08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Hansen GFC (v1.11, UMD)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Pérdida forestal (30 m)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2001–2023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Municipal / raster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Cap. 2; F08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CHIRPS (UCSB)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Precipitación (5 km)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1981–2024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Departamental / raster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Cap. 2 (control)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ESA WorldCover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Cobertura del suelo (10 m)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2020–2021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Raster (verificación)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Auxiliar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INE — Encuesta de Hogares (EH)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Bienestar rural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2012–2024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Hogar (muestral)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Cap. 2; F06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CEPAL — CEPALSTAT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Pobreza y empleo rural (benchmark)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1990–2023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Cap. 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Banco Mundial — WDI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Macro y desarrollo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1960–2024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Nacional / LAC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Cap. 1–2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IFPRI — SPEED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Gasto agropecuario (% PIB)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1980–2017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Nacional / LAC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Cap. 3; F04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FMI — WEO / GFS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Fiscal y macro (cross-check)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varios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Multipaís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Verificación</w:t>
                  </w:r>
                </w:p>
              </w:tc>
            </w:tr>
          </w:tbl>
          <w:bookmarkEnd w:id="26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0A047"/>
        </w:tblBorders>
        <w:tblCellMar>
          <w:left w:w="0" w:type="dxa"/>
          <w:right w:w="0" w:type="dxa"/>
        </w:tblCellMar>
        <w:tblInd w:w="164" w:type="dxa"/>
      </w:tblPr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</w:p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Unidad geográfica.</w:t>
            </w:r>
            <w:r>
              <w:t xml:space="preserve"> </w:t>
            </w:r>
            <w:r>
              <w:rPr>
                <w:i/>
                <w:iCs/>
              </w:rPr>
              <w:t xml:space="preserve">Nacional</w:t>
            </w:r>
            <w:r>
              <w:t xml:space="preserve"> </w:t>
            </w:r>
            <w:r>
              <w:t xml:space="preserve">= agregado Bolivia;</w:t>
            </w:r>
            <w:r>
              <w:t xml:space="preserve"> </w:t>
            </w:r>
            <w:r>
              <w:rPr>
                <w:i/>
                <w:iCs/>
              </w:rPr>
              <w:t xml:space="preserve">Departamental</w:t>
            </w:r>
            <w:r>
              <w:t xml:space="preserve"> </w:t>
            </w:r>
            <w:r>
              <w:t xml:space="preserve">= 9 departamentos;</w:t>
            </w:r>
            <w:r>
              <w:t xml:space="preserve"> </w:t>
            </w:r>
            <w:r>
              <w:rPr>
                <w:i/>
                <w:iCs/>
              </w:rPr>
              <w:t xml:space="preserve">Municipal</w:t>
            </w:r>
            <w:r>
              <w:t xml:space="preserve"> </w:t>
            </w:r>
            <w:r>
              <w:t xml:space="preserve">= 339 municipios;</w:t>
            </w:r>
            <w:r>
              <w:t xml:space="preserve"> </w:t>
            </w:r>
            <w:r>
              <w:rPr>
                <w:i/>
                <w:iCs/>
              </w:rPr>
              <w:t xml:space="preserve">UPA / Hogar</w:t>
            </w:r>
            <w:r>
              <w:t xml:space="preserve"> </w:t>
            </w:r>
            <w:r>
              <w:t xml:space="preserve">= microdato muestral de unidad productiva o de hogar;</w:t>
            </w:r>
            <w:r>
              <w:t xml:space="preserve"> </w:t>
            </w:r>
            <w:r>
              <w:rPr>
                <w:i/>
                <w:iCs/>
              </w:rPr>
              <w:t xml:space="preserve">LAC / multipaís</w:t>
            </w:r>
            <w:r>
              <w:t xml:space="preserve"> </w:t>
            </w:r>
            <w:r>
              <w:t xml:space="preserve">= panel comparativo de América Latina y el Caribe;</w:t>
            </w:r>
            <w:r>
              <w:t xml:space="preserve"> </w:t>
            </w:r>
            <w:r>
              <w:rPr>
                <w:i/>
                <w:iCs/>
              </w:rPr>
              <w:t xml:space="preserve">Raster</w:t>
            </w:r>
            <w:r>
              <w:t xml:space="preserve"> </w:t>
            </w:r>
            <w:r>
              <w:t xml:space="preserve">= producto satelital agregado a la unidad administrativa de análisis.</w:t>
            </w:r>
          </w:p>
        </w:tc>
      </w:tr>
    </w:tbl>
    <w:bookmarkEnd w:id="30"/>
    <w:bookmarkStart w:id="36" w:name="X1e38c7b9b036f38f8f989fe33f3220e6b6bb7bb"/>
    <w:p>
      <w:pPr>
        <w:pStyle w:val="Heading2"/>
      </w:pPr>
      <w:r>
        <w:t xml:space="preserve">3 A.3 · Protocolo de limpieza y construcción del panel</w:t>
      </w:r>
    </w:p>
    <w:p>
      <w:pPr>
        <w:pStyle w:val="FirstParagraph"/>
      </w:pPr>
      <w:r>
        <w:t xml:space="preserve">Cada fuente cruda recorre un proceso de transformación uniforme hasta integrarse al panel maestro. El proceso es scriptado de extremo a extremo:</w:t>
      </w:r>
      <w:r>
        <w:t xml:space="preserve"> </w:t>
      </w:r>
      <w:r>
        <w:rPr>
          <w:rStyle w:val="VerbatimChar"/>
        </w:rPr>
        <w:t xml:space="preserve">renv::restore()</w:t>
      </w:r>
      <w:r>
        <w:t xml:space="preserve"> </w:t>
      </w:r>
      <w:r>
        <w:t xml:space="preserve">seguido de la ejecución ordenada de los scripts de</w:t>
      </w:r>
      <w:r>
        <w:t xml:space="preserve"> </w:t>
      </w:r>
      <w:r>
        <w:rPr>
          <w:rStyle w:val="VerbatimChar"/>
        </w:rPr>
        <w:t xml:space="preserve">02_code/</w:t>
      </w:r>
      <w:r>
        <w:t xml:space="preserve"> </w:t>
      </w:r>
      <w:r>
        <w:t xml:space="preserve">reproduce el panel y las figuras sin intervención manual. La</w:t>
      </w:r>
      <w:r>
        <w:t xml:space="preserve"> </w:t>
      </w:r>
      <w:hyperlink w:anchor="tbl-pipeline">
        <w:r>
          <w:rPr>
            <w:rStyle w:val="Hyperlink"/>
          </w:rPr>
          <w:t xml:space="preserve">Tabla 2</w:t>
        </w:r>
      </w:hyperlink>
      <w:r>
        <w:t xml:space="preserve"> </w:t>
      </w:r>
      <w:r>
        <w:t xml:space="preserve">resume las etapas.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tbl-pipeline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Tabla 2: Etapas del protocolo de limpieza y construcción del panel maestro.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#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Etapa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Acción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Ubicación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Ingesta inmutable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Descarga fechada de la fuente cruda; no se edita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01_data/raw/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Parseo y estandarización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PDF/Excel/CSV/raster → tablas largas; armonización de unidades, cultivos y entidades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02_code/01_data_collection/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Limpieza y deflactación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Conciliación de clasificaciones; conversión a USD constantes de 2015; tratamiento explícito de quiebres metodológicos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02_code/02_cleaning/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Clasificación MAFAP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Asignación de cada partida de gasto a categorías MAFAP A–E + crosswalk a OECD-PSE/COFOG/funcional MEFP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02_code/02_cleaning/17_mafap_classification.R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Empalme de series de gasto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Unión BOOST (1996–2008) ↔ MEFP Presupuesto Abierto (2016–2025) como serie de dos taxonomías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02_code/02_cleaning/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Consolidación territorial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Agregación nacional → departamental → municipal (339)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02_code/02_cleaning/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Integración al panel maestro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Ensamblaje de las 176 variables × 35 años en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spending_panel_v12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02_code/01_data_collection/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Trazabilidad y verificación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Cada figura/tabla declara su RDS, script y variable; auditoría antes de publicar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02_code/04_visualization/</w:t>
                  </w:r>
                </w:p>
              </w:tc>
            </w:tr>
          </w:tbl>
          <w:bookmarkEnd w:id="31"/>
          <w:p/>
        </w:tc>
      </w:tr>
    </w:tbl>
    <w:p>
      <w:pPr>
        <w:pStyle w:val="BodyText"/>
      </w:pPr>
      <w:r>
        <w:t xml:space="preserve">Cuatro decisiones de tratamiento merecen nota explícita: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Deflactación.</w:t>
      </w:r>
      <w:r>
        <w:t xml:space="preserve"> </w:t>
      </w:r>
      <w:r>
        <w:t xml:space="preserve">Todos los montos del reporte se expresan en</w:t>
      </w:r>
      <w:r>
        <w:t xml:space="preserve"> </w:t>
      </w:r>
      <w:r>
        <w:rPr>
          <w:b/>
          <w:bCs/>
        </w:rPr>
        <w:t xml:space="preserve">dólares constantes de 2015</w:t>
      </w:r>
      <w:r>
        <w:t xml:space="preserve">, usando el deflactor del IPC (INE) y el tipo de cambio del período. No se reportan valores nominales sin nota.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Clasificación funcional del gasto.</w:t>
      </w:r>
      <w:r>
        <w:t xml:space="preserve"> </w:t>
      </w:r>
      <w:r>
        <w:t xml:space="preserve">El gasto se ordena bajo la taxonomía MAFAP A–E (Apéndice C), con crosswalk a OECD-PSE, COFOG y la clasificación funcional del MEFP (Apéndice D). La operacionalización para Bolivia se documenta en</w:t>
      </w:r>
      <w:r>
        <w:t xml:space="preserve"> </w:t>
      </w:r>
      <w:hyperlink r:id="rId32">
        <w:r>
          <w:rPr>
            <w:rStyle w:val="Hyperlink"/>
          </w:rPr>
          <w:t xml:space="preserve">ADR-0010</w:t>
        </w:r>
      </w:hyperlink>
      <w:r>
        <w:t xml:space="preserve"> </w:t>
      </w:r>
      <w:r>
        <w:t xml:space="preserve">y</w:t>
      </w:r>
      <w:r>
        <w:t xml:space="preserve"> </w:t>
      </w:r>
      <w:hyperlink r:id="rId33">
        <w:r>
          <w:rPr>
            <w:rStyle w:val="Hyperlink"/>
          </w:rPr>
          <w:t xml:space="preserve">ADR-0014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Empalme sin imputar.</w:t>
      </w:r>
      <w:r>
        <w:t xml:space="preserve"> </w:t>
      </w:r>
      <w:r>
        <w:t xml:space="preserve">Las series de gasto de distintas plataformas (BOOST, VIPFE, Presupuesto Abierto) se unen como una serie de dos taxonomías con la discontinuidad declarada (</w:t>
      </w:r>
      <w:hyperlink r:id="rId34">
        <w:r>
          <w:rPr>
            <w:rStyle w:val="Hyperlink"/>
          </w:rPr>
          <w:t xml:space="preserve">ADR-0012</w:t>
        </w:r>
      </w:hyperlink>
      <w:r>
        <w:t xml:space="preserve">); no se interpola entre regímenes de registro. Los quiebres metodológicos conocidos —por ejemplo, la cartera de crédito del BCB tras la Ley 393— se marcan con una variable indicadora, no se ajustan.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Consolidación territorial.</w:t>
      </w:r>
      <w:r>
        <w:t xml:space="preserve"> </w:t>
      </w:r>
      <w:r>
        <w:t xml:space="preserve">La conciliación de gasto entre niveles de gobierno sigue</w:t>
      </w:r>
      <w:r>
        <w:t xml:space="preserve"> </w:t>
      </w:r>
      <w:hyperlink r:id="rId35">
        <w:r>
          <w:rPr>
            <w:rStyle w:val="Hyperlink"/>
          </w:rPr>
          <w:t xml:space="preserve">ADR-0015</w:t>
        </w:r>
      </w:hyperlink>
      <w:r>
        <w:t xml:space="preserve">; las cifras municipales describen el POA del gobierno municipal, no el gasto agropecuario consolidado del país.</w:t>
      </w:r>
    </w:p>
    <w:bookmarkEnd w:id="36"/>
    <w:bookmarkStart w:id="38" w:name="a.4-panel-maestro-v12-fuente-única"/>
    <w:p>
      <w:pPr>
        <w:pStyle w:val="Heading2"/>
      </w:pPr>
      <w:r>
        <w:t xml:space="preserve">4 A.4 · Panel maestro v12 (fuente única)</w:t>
      </w:r>
    </w:p>
    <w:p>
      <w:pPr>
        <w:pStyle w:val="FirstParagraph"/>
      </w:pPr>
      <w:r>
        <w:t xml:space="preserve">La verdad cuantitativa del reporte es el panel</w:t>
      </w:r>
      <w:r>
        <w:t xml:space="preserve"> </w:t>
      </w:r>
      <w:r>
        <w:rPr>
          <w:rStyle w:val="VerbatimChar"/>
        </w:rPr>
        <w:t xml:space="preserve">01_data/processed/spending_panel_v12.rds</w:t>
      </w:r>
      <w:r>
        <w:t xml:space="preserve">:</w:t>
      </w:r>
      <w:r>
        <w:t xml:space="preserve"> </w:t>
      </w:r>
      <w:r>
        <w:rPr>
          <w:b/>
          <w:bCs/>
        </w:rPr>
        <w:t xml:space="preserve">176 variables × 35 años (1990–2024)</w:t>
      </w:r>
      <w:r>
        <w:t xml:space="preserve">, organizadas en 17 grupos temáticos (macro, inversión VIPFE, gasto BOOST, gasto municipal, EMAPA, SPEED, PSE-BID, precios y NRP, crédito BCB, uso del suelo, deforestación, clima, TFP, producción FAO/INE, WDI y otros outcomes). El diccionario autoritativo, con tipo, número de observaciones y cobertura por variable, es</w:t>
      </w:r>
      <w:r>
        <w:t xml:space="preserve"> </w:t>
      </w:r>
      <w:hyperlink r:id="rId37">
        <w:r>
          <w:rPr>
            <w:rStyle w:val="VerbatimChar"/>
          </w:rPr>
          <w:t xml:space="preserve">spending_panel_v12_dictionary.csv</w:t>
        </w:r>
      </w:hyperlink>
      <w:r>
        <w:t xml:space="preserve">.</w:t>
      </w:r>
    </w:p>
    <w:p>
      <w:pPr>
        <w:pStyle w:val="BodyText"/>
      </w:pPr>
      <w:r>
        <w:t xml:space="preserve">El panel está versionado: todo cambio sustantivo en su contenido dispara un</w:t>
      </w:r>
      <w:r>
        <w:t xml:space="preserve"> </w:t>
      </w:r>
      <w:r>
        <w:rPr>
          <w:i/>
          <w:iCs/>
        </w:rPr>
        <w:t xml:space="preserve">bump</w:t>
      </w:r>
      <w:r>
        <w:t xml:space="preserve"> </w:t>
      </w:r>
      <w:r>
        <w:t xml:space="preserve">de versión y un registro de decisión (ADR). Los análisis subnacionales se apoyan en paneles derivados consistentes con el maestro:</w:t>
      </w:r>
      <w:r>
        <w:t xml:space="preserve"> </w:t>
      </w:r>
      <w:r>
        <w:rPr>
          <w:rStyle w:val="VerbatimChar"/>
        </w:rPr>
        <w:t xml:space="preserve">subnacional_panel_v2</w:t>
      </w:r>
      <w:r>
        <w:t xml:space="preserve"> </w:t>
      </w:r>
      <w:r>
        <w:t xml:space="preserve">(departamental, 2012–2021) y</w:t>
      </w:r>
      <w:r>
        <w:t xml:space="preserve"> </w:t>
      </w:r>
      <w:r>
        <w:rPr>
          <w:rStyle w:val="VerbatimChar"/>
        </w:rPr>
        <w:t xml:space="preserve">municipal_panel_v3</w:t>
      </w:r>
      <w:r>
        <w:t xml:space="preserve"> </w:t>
      </w:r>
      <w:r>
        <w:t xml:space="preserve">(municipal, 2012–2021).</w:t>
      </w:r>
    </w:p>
    <w:bookmarkEnd w:id="38"/>
    <w:bookmarkStart w:id="40" w:name="a.5-cobertura-y-vacíos-documentados"/>
    <w:p>
      <w:pPr>
        <w:pStyle w:val="Heading2"/>
      </w:pPr>
      <w:r>
        <w:t xml:space="preserve">5 A.5 · Cobertura y vacíos documentados</w:t>
      </w:r>
    </w:p>
    <w:p>
      <w:pPr>
        <w:pStyle w:val="FirstParagraph"/>
      </w:pPr>
      <w:r>
        <w:t xml:space="preserve">El acervo tiene cobertura completa (≥ 90 % de los años) para inversión VIPFE, TFP, WDI, producción INE, uso del suelo y FAOSTAT; cobertura media para PSE-BID, SPEED, BOOST y Hansen; y cobertura limitada para crédito BCB (2010–2024) y emisiones. Los vacíos que condicionan el análisis se documentan en</w:t>
      </w:r>
      <w:r>
        <w:t xml:space="preserve"> </w:t>
      </w:r>
      <w:hyperlink r:id="rId24">
        <w:r>
          <w:rPr>
            <w:rStyle w:val="VerbatimChar"/>
          </w:rPr>
          <w:t xml:space="preserve">00_admin/ESTADO_DE_DATOS.md</w:t>
        </w:r>
      </w:hyperlink>
      <w:r>
        <w:t xml:space="preserve"> </w:t>
      </w:r>
      <w:r>
        <w:t xml:space="preserve">y se resumen en la</w:t>
      </w:r>
      <w:r>
        <w:t xml:space="preserve"> </w:t>
      </w:r>
      <w:hyperlink w:anchor="tbl-gaps">
        <w:r>
          <w:rPr>
            <w:rStyle w:val="Hyperlink"/>
          </w:rPr>
          <w:t xml:space="preserve">Tabla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tbl-gaps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Tabla 3: Vacíos de datos documentados y acciones pendientes.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697"/>
              <w:gridCol w:w="1697"/>
              <w:gridCol w:w="2828"/>
              <w:gridCol w:w="169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Vacío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Período faltante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Estado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Acción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Ejecución MDRyT / INIAF / SENASAG por entidad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2009–2024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Bloqueada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Solicitud formal al MEFP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Memorias MDRyT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2015–2018, 2020, 2022–2023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Faltan 5 años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Solicitud al MDRyT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SIIF subnacional municipal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2009–2023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Parcial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Compilación con apoyo de Fundación Jubileo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BDP — cartera detallada por programa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Serie histórica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Solo snapshot reciente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Solicitud directa a BDP</w:t>
                  </w:r>
                </w:p>
              </w:tc>
            </w:tr>
          </w:tbl>
          <w:bookmarkEnd w:id="39"/>
          <w:p/>
        </w:tc>
      </w:tr>
    </w:tbl>
    <w:p>
      <w:pPr>
        <w:pStyle w:val="BodyText"/>
      </w:pPr>
      <w:r>
        <w:rPr>
          <w:b/>
          <w:bCs/>
        </w:rPr>
        <w:t xml:space="preserve">Regla operativa.</w:t>
      </w:r>
      <w:r>
        <w:t xml:space="preserve"> </w:t>
      </w:r>
      <w:r>
        <w:t xml:space="preserve">Las cifras que dependen de fuentes bloqueadas se marcan</w:t>
      </w:r>
      <w:r>
        <w:t xml:space="preserve"> </w:t>
      </w:r>
      <w:r>
        <w:rPr>
          <w:rStyle w:val="VerbatimChar"/>
        </w:rPr>
        <w:t xml:space="preserve">[TODO_TRACE]</w:t>
      </w:r>
      <w:r>
        <w:t xml:space="preserve"> </w:t>
      </w:r>
      <w:r>
        <w:t xml:space="preserve">en el texto y se declaran con incertidumbre alta en el registro de hallazgos. Mientras un vacío persista, el hallazgo correspondiente no transita a estado validado; puede quedar revisado con la incertidumbre declarada de forma explícita.</w:t>
      </w:r>
    </w:p>
    <w:bookmarkEnd w:id="40"/>
    <w:bookmarkStart w:id="42" w:name="a.6-licencias-y-atribución"/>
    <w:p>
      <w:pPr>
        <w:pStyle w:val="Heading2"/>
      </w:pPr>
      <w:r>
        <w:t xml:space="preserve">6 A.6 · Licencias y atribución</w:t>
      </w:r>
    </w:p>
    <w:p>
      <w:pPr>
        <w:pStyle w:val="FirstParagraph"/>
      </w:pPr>
      <w:r>
        <w:t xml:space="preserve">Ninguna fuente del acervo impide la publicación del reporte; las restricciones existentes son de</w:t>
      </w:r>
      <w:r>
        <w:t xml:space="preserve"> </w:t>
      </w:r>
      <w:r>
        <w:rPr>
          <w:b/>
          <w:bCs/>
        </w:rPr>
        <w:t xml:space="preserve">atribución</w:t>
      </w:r>
      <w:r>
        <w:t xml:space="preserve">, no de acceso a publicar derivados. En cada figura derivada de una fuente con licencia CC-BY, el pie de figura incluye la cita estándar de la fuente.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tbl-licencias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Tabla 4: Licencias por fuente.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Tipo de licencia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Fuentes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Pública sin restricciones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VIPFE, BOOST, INE, BCB, BID AgriMonitor, WB Pink Sheet, WDI, FMI, CEPALSTAT, OCDE-PSE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CC-BY (atribución requerida)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FAOSTAT, MapBiomas, ESA WorldCover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Pública con uso académico/no comercial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Hansen GFC, CHIRPS, USDA-ERS, IFPRI SPEED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Pública vía archivo (Wayback)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MDRyT, INIAF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Pública institucional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Fundación Jubileo, CIPCA, PEFA</w:t>
                  </w:r>
                </w:p>
              </w:tc>
            </w:tr>
          </w:tbl>
          <w:bookmarkEnd w:id="41"/>
          <w:p/>
        </w:tc>
      </w:tr>
    </w:tbl>
    <w:bookmarkEnd w:id="42"/>
    <w:bookmarkStart w:id="45" w:name="a.7-advertencias-de-comparabilidad"/>
    <w:p>
      <w:pPr>
        <w:pStyle w:val="Heading2"/>
      </w:pPr>
      <w:r>
        <w:t xml:space="preserve">7 A.7 · Advertencias de comparabilidad</w:t>
      </w:r>
    </w:p>
    <w:p>
      <w:pPr>
        <w:pStyle w:val="FirstParagraph"/>
      </w:pPr>
      <w:r>
        <w:t xml:space="preserve">Las fuentes responden a definiciones distintas y no son directamente sumables ni intercambiables: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Inversión (VIPFE) ≠ gasto agropecuario estricto.</w:t>
      </w:r>
      <w:r>
        <w:t xml:space="preserve"> </w:t>
      </w:r>
      <w:r>
        <w:t xml:space="preserve">VIPFE registra inversión pública bajo clasificación funcional; la taxonomía MAFAP mide gasto en alimentación y agricultura. Las dos series son correctas para sus definiciones respectivas y difieren en magnitud.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PSE ≠ gasto público presupuestario.</w:t>
      </w:r>
      <w:r>
        <w:t xml:space="preserve"> </w:t>
      </w:r>
      <w:r>
        <w:t xml:space="preserve">El PSE mide apoyo total, incluyendo transferencias implícitas vía política de precios (MPS), que pueden ser negativas. No se suma con el gasto presupuestario.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WDI vs. INE.</w:t>
      </w:r>
      <w:r>
        <w:t xml:space="preserve"> </w:t>
      </w:r>
      <w:r>
        <w:t xml:space="preserve">WDI usa series internacionales comparables; INE usa metodología nacional. El reporte privilegia WDI para comparación internacional e INE para análisis subnacional.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Gasto municipal (POA).</w:t>
      </w:r>
      <w:r>
        <w:t xml:space="preserve"> </w:t>
      </w:r>
      <w:r>
        <w:t xml:space="preserve">Las cifras municipales captan el gasto del gobierno municipal a través del POA, no la ejecución del nivel central ni la departamental; describen la geografía del POA municipal, no el gasto agropecuario consolidado del país.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</w:tblBorders>
        <w:tblCellMar>
          <w:left w:w="0" w:type="dxa"/>
          <w:right w:w="0" w:type="dxa"/>
        </w:tblCellMar>
        <w:tblInd w:w="164" w:type="dxa"/>
      </w:tblPr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</w:p>
          <w:p>
            <w:pPr>
              <w:pStyle w:val="BodyText"/>
            </w:pPr>
            <w:pPr>
              <w:spacing w:before="16" w:after="16"/>
            </w:pPr>
            <w:r>
              <w:t xml:space="preserve">Los marcos metodológicos y manuales (APER Bolivia 2011, manuales MAFAP y OECD-PSE, literatura de</w:t>
            </w:r>
            <w:r>
              <w:t xml:space="preserve"> </w:t>
            </w:r>
            <w:r>
              <w:rPr>
                <w:i/>
                <w:iCs/>
              </w:rPr>
              <w:t xml:space="preserve">repurposing</w:t>
            </w:r>
            <w:r>
              <w:t xml:space="preserve">) se documentan en el corpus de literatura del estudio y se citan en los capítulos y en los Apéndices B, C y D.</w:t>
            </w:r>
          </w:p>
        </w:tc>
      </w:tr>
    </w:tbl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7" Target="media/rId27.png" /><Relationship Type="http://schemas.openxmlformats.org/officeDocument/2006/relationships/hyperlink" Id="rId23" Target="../../.agent/03_FUENTES.md" TargetMode="External" /><Relationship Type="http://schemas.openxmlformats.org/officeDocument/2006/relationships/hyperlink" Id="rId32" Target="../../.agent/decisions/ADR-0010_crosswalk_clasificaciones.md" TargetMode="External" /><Relationship Type="http://schemas.openxmlformats.org/officeDocument/2006/relationships/hyperlink" Id="rId34" Target="../../.agent/decisions/ADR-0012_gasto_externo_empalme_mefp.md" TargetMode="External" /><Relationship Type="http://schemas.openxmlformats.org/officeDocument/2006/relationships/hyperlink" Id="rId33" Target="../../.agent/decisions/ADR-0014_descomposicion_programatica_acteco.md" TargetMode="External" /><Relationship Type="http://schemas.openxmlformats.org/officeDocument/2006/relationships/hyperlink" Id="rId35" Target="../../.agent/decisions/ADR-0015_consolidacion_territorial_gasto.md" TargetMode="External" /><Relationship Type="http://schemas.openxmlformats.org/officeDocument/2006/relationships/hyperlink" Id="rId24" Target="../../00_admin/ESTADO_DE_DATOS.md" TargetMode="External" /><Relationship Type="http://schemas.openxmlformats.org/officeDocument/2006/relationships/hyperlink" Id="rId37" Target="../../01_data/processed/spending_panel_v12_dictionary.csv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../../.agent/03_FUENTES.md" TargetMode="External" /><Relationship Type="http://schemas.openxmlformats.org/officeDocument/2006/relationships/hyperlink" Id="rId32" Target="../../.agent/decisions/ADR-0010_crosswalk_clasificaciones.md" TargetMode="External" /><Relationship Type="http://schemas.openxmlformats.org/officeDocument/2006/relationships/hyperlink" Id="rId34" Target="../../.agent/decisions/ADR-0012_gasto_externo_empalme_mefp.md" TargetMode="External" /><Relationship Type="http://schemas.openxmlformats.org/officeDocument/2006/relationships/hyperlink" Id="rId33" Target="../../.agent/decisions/ADR-0014_descomposicion_programatica_acteco.md" TargetMode="External" /><Relationship Type="http://schemas.openxmlformats.org/officeDocument/2006/relationships/hyperlink" Id="rId35" Target="../../.agent/decisions/ADR-0015_consolidacion_territorial_gasto.md" TargetMode="External" /><Relationship Type="http://schemas.openxmlformats.org/officeDocument/2006/relationships/hyperlink" Id="rId24" Target="../../00_admin/ESTADO_DE_DATOS.md" TargetMode="External" /><Relationship Type="http://schemas.openxmlformats.org/officeDocument/2006/relationships/hyperlink" Id="rId37" Target="../../01_data/processed/spending_panel_v12_dictionary.csv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Apéndice A — Fuentes de información</dc:title>
  <dc:creator/>
  <dc:language>es</dc:language>
  <cp:keywords/>
  <dcterms:created xsi:type="dcterms:W3CDTF">2026-06-15T00:43:25Z</dcterms:created>
  <dcterms:modified xsi:type="dcterms:W3CDTF">2026-06-15T00:43:25Z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>references.bib</vt:lpwstr>
  </property>
  <property fmtid="{D5CDD505-2E9C-101B-9397-08002B2CF9AE}" pid="4" name="crossref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subtitle">
    <vt:lpwstr>Inventario de fuentes, cobertura geográfica y protocolo de limpieza de datos</vt:lpwstr>
  </property>
  <property fmtid="{D5CDD505-2E9C-101B-9397-08002B2CF9AE}" pid="10" name="toc-title">
    <vt:lpwstr>Tabla de contenidos</vt:lpwstr>
  </property>
</Properties>
</file>