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Apéndice F — Resultados DEA Simar-Wilson</w:t>
      </w:r>
    </w:p>
    <w:p>
      <w:pPr>
        <w:pStyle w:val="Subtitle"/>
      </w:pPr>
      <w:r>
        <w:t xml:space="preserve">Frontera de eficiencia técnica del gasto agropecuario departamental, 2012–2020</w:t>
      </w:r>
    </w:p>
    <w:p>
      <w:pPr>
        <w:pStyle w:val="BlockText"/>
      </w:pPr>
      <w:r>
        <w:rPr>
          <w:b/>
          <w:bCs/>
        </w:rPr>
        <w:t xml:space="preserve">Estado del cálculo.</w:t>
      </w:r>
      <w:r>
        <w:t xml:space="preserve"> </w:t>
      </w:r>
      <w:r>
        <w:t xml:space="preserve">La frontera DEA Simar-Wilson está computada sobre el dataset canónico</w:t>
      </w:r>
      <w:r>
        <w:t xml:space="preserve"> </w:t>
      </w:r>
      <w:r>
        <w:rPr>
          <w:rStyle w:val="VerbatimChar"/>
        </w:rPr>
        <w:t xml:space="preserve">dea_dataset.rds</w:t>
      </w:r>
      <w:r>
        <w:t xml:space="preserve"> </w:t>
      </w:r>
      <w:r>
        <w:t xml:space="preserve">(81 DMU-años, 9 departamentos × 9 años, 2012–2020). La especificación está fijada en el ADR-0016. Los scores, las bandas de confianza al 95 % y la regresión truncada de segunda etapa provienen de</w:t>
      </w:r>
      <w:r>
        <w:t xml:space="preserve"> </w:t>
      </w:r>
      <w:r>
        <w:rPr>
          <w:rStyle w:val="VerbatimChar"/>
        </w:rPr>
        <w:t xml:space="preserve">dea_simar_wilson_results.rds</w:t>
      </w:r>
      <w:r>
        <w:t xml:space="preserve"> </w:t>
      </w:r>
      <w:r>
        <w:t xml:space="preserve">(semilla fija, 2000 réplicas bootstrap). Pendiente: firma TTL del ADR-0016 e índice Malmquist como extensión futura.</w:t>
      </w:r>
    </w:p>
    <w:bookmarkStart w:id="20" w:name="f.1-especificación"/>
    <w:p>
      <w:pPr>
        <w:pStyle w:val="Heading2"/>
      </w:pPr>
      <w:r>
        <w:t xml:space="preserve">F.1 Especificación</w:t>
      </w:r>
    </w:p>
    <w:p>
      <w:pPr>
        <w:pStyle w:val="FirstParagraph"/>
      </w:pPr>
      <w:r>
        <w:t xml:space="preserve">La frontera principal usa retornos variables a escala (VRS) y se estima como una sola envolvente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sobre los 81 pares departamento-año (satisface la regla de discriminación n ≥ 3(m+s)). Se reportan ambas orientaciones: la orientación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responde la pregunta de policy</w:t>
      </w:r>
      <w:r>
        <w:t xml:space="preserve"> </w:t>
      </w:r>
      <w:r>
        <w:t xml:space="preserve">“¿se obtendría el mismo producto con menos gasto?”</w:t>
      </w:r>
      <w:r>
        <w:t xml:space="preserve">; la</w:t>
      </w:r>
      <w:r>
        <w:t xml:space="preserve"> </w:t>
      </w:r>
      <w:r>
        <w:rPr>
          <w:i/>
          <w:iCs/>
        </w:rPr>
        <w:t xml:space="preserve">output</w:t>
      </w:r>
      <w:r>
        <w:t xml:space="preserve">,</w:t>
      </w:r>
      <w:r>
        <w:t xml:space="preserve"> </w:t>
      </w:r>
      <w:r>
        <w:t xml:space="preserve">“¿cuánto producto adicional con el mismo gasto?”</w:t>
      </w:r>
      <w:r>
        <w:t xml:space="preserve">. El bootstrap homogéneo de Simar y Wilson (1998) corrige el sesgo de los scores deterministas y genera bandas de confianza; la segunda etapa de Simar y Wilson (2007) estima los determinantes ambientales de la (in)eficiencia mediante regresión truncada con bootstrap, no Tobit.</w:t>
      </w:r>
    </w:p>
    <w:p>
      <w:pPr>
        <w:pStyle w:val="TableCaption"/>
      </w:pPr>
      <w:r>
        <w:t xml:space="preserve">Tabla F.1 — Estructura de la frontera DEA 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a F.1 — Estructura de la frontera DEA principal"/>
      </w:tblPr>
      <w:tblGrid>
        <w:gridCol w:w="1469"/>
        <w:gridCol w:w="64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Insumos 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agropecuario estricto (BOB const. 2015); superficie cultivada total (ha)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Outputs (Y)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total (ton); rendimiento de cereales (kg/ha)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(DMU)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pares departamento-año (9 dptos × 2012–2020)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Retornos a 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(VRS / BCC)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y output (reportadas en paralelo)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Simar-Wilson (1998), 2000 réplicas, IC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Segunda 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Regresión truncada Simar-Wilson (2007) + bootstrap</w:t>
            </w:r>
          </w:p>
        </w:tc>
      </w:tr>
    </w:tbl>
    <w:bookmarkEnd w:id="20"/>
    <w:bookmarkStart w:id="21" w:name="Xe6425f1960e91859aa6d136108f020d4d70fdb4"/>
    <w:p>
      <w:pPr>
        <w:pStyle w:val="Heading2"/>
      </w:pPr>
      <w:r>
        <w:t xml:space="preserve">F.2 Scores de eficiencia por departamento</w:t>
      </w:r>
    </w:p>
    <w:p>
      <w:pPr>
        <w:pStyle w:val="FirstParagraph"/>
      </w:pPr>
      <w:r>
        <w:t xml:space="preserve">Los scores se interpretan como distancia a la frontera: un valor de 0,60 indica que el departamento podría, en promedio, obtener el mismo producto con cerca de 40 % menos insumos si replicara las prácticas de las unidades frontera. La columna</w:t>
      </w:r>
      <w:r>
        <w:t xml:space="preserve"> </w:t>
      </w:r>
      <w:r>
        <w:t xml:space="preserve">“Años en frontera”</w:t>
      </w:r>
      <w:r>
        <w:t xml:space="preserve"> </w:t>
      </w:r>
      <w:r>
        <w:t xml:space="preserve">cuenta los años en que el departamento define la frontera (score = 1).</w:t>
      </w:r>
    </w:p>
    <w:p>
      <w:pPr>
        <w:pStyle w:val="TableCaption"/>
      </w:pPr>
      <w:r>
        <w:t xml:space="preserve">Tabla F.2 — Eficiencia técnica media por departamento (frontera principal VRS, 2012–2020)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a F.2 — Eficiencia técnica media por departamento (frontera principal VRS, 2012–2020)"/>
      </w:tblPr>
      <w:tblGrid>
        <w:gridCol w:w="837"/>
        <w:gridCol w:w="1545"/>
        <w:gridCol w:w="1545"/>
        <w:gridCol w:w="772"/>
        <w:gridCol w:w="772"/>
        <w:gridCol w:w="1352"/>
        <w:gridCol w:w="10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input (s/correg.)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input (corregido)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 inf.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 sup.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output (corr.)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Años en frontera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El ordenamiento reproduce un gradiente geográfico nítido: los departamentos de tierras bajas y valles (Pando, Tarija, Santa Cruz, Beni, Cochabamba) operan cerca de la frontera, mientras que el altiplano (La Paz, Oruro, Potosí) y Chuquisaca registran las brechas mayores. Ningún departamento altiplánico define la frontera en ningún año del panel. La eficiencia de Pando debe leerse con cautela: bajo VRS, las unidades de menor escala tienden a auto-identificarse como eficientes (Pando tiene la menor superficie y el menor gasto agropecuario del país), efecto que la corrección de sesgo atenúa pero no elimina.</w:t>
      </w:r>
    </w:p>
    <w:bookmarkEnd w:id="21"/>
    <w:bookmarkStart w:id="22" w:name="f.3-panel-completo-departamento-año"/>
    <w:p>
      <w:pPr>
        <w:pStyle w:val="Heading2"/>
      </w:pPr>
      <w:r>
        <w:t xml:space="preserve">F.3 Panel completo departamento × año</w:t>
      </w:r>
    </w:p>
    <w:p>
      <w:pPr>
        <w:pStyle w:val="TableCaption"/>
      </w:pPr>
      <w:r>
        <w:t xml:space="preserve">Tabla F.3 — Scores DEA corregidos (orientación input) y bandas de confianza al 95 %, por departamento-año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F.3 — Scores DEA corregidos (orientación input) y bandas de confianza al 95 %, por departamento-año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(corregido)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inf.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sup.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CHUQUISACA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COCHABAMBA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POTOSÍ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</w:tbl>
    <w:bookmarkEnd w:id="22"/>
    <w:bookmarkStart w:id="23" w:name="X2d1fc032d592e02cf33d6481618da09ebbb7976"/>
    <w:p>
      <w:pPr>
        <w:pStyle w:val="Heading2"/>
      </w:pPr>
      <w:r>
        <w:t xml:space="preserve">F.4 Determinantes ambientales (segunda etapa Simar-Wilson 2007)</w:t>
      </w:r>
    </w:p>
    <w:p>
      <w:pPr>
        <w:pStyle w:val="FirstParagraph"/>
      </w:pPr>
      <w:r>
        <w:t xml:space="preserve">La regresión truncada de segunda etapa explica el score corregido en orientación input mediante variables de contexto no controlables por el gasto. La precipitación (CHIRPS) presenta una asociación positiva y significativa: parte de la brecha de eficiencia del altiplano refleja una desventaja agroclimática estructural, no únicamente gestión. El coeficiente de deforestación es positivo y significativo pero de magnitud reducida.</w:t>
      </w:r>
    </w:p>
    <w:p>
      <w:pPr>
        <w:pStyle w:val="TableCaption"/>
      </w:pPr>
      <w:r>
        <w:t xml:space="preserve">Tabla F.4 — Segunda etapa Simar-Wilson (2007): regresión truncada del score corregido sobre covariables ambientales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a F.4 — Segunda etapa Simar-Wilson (2007): regresión truncada del score corregido sobre covariables ambientales"/>
      </w:tblPr>
      <w:tblGrid>
        <w:gridCol w:w="3350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 inf.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 sup.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Precipitación (CHIRPS, miles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Deforestación (miles ha/año)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bookmarkEnd w:id="23"/>
    <w:bookmarkStart w:id="24" w:name="f.5-robustez"/>
    <w:p>
      <w:pPr>
        <w:pStyle w:val="Heading2"/>
      </w:pPr>
      <w:r>
        <w:t xml:space="preserve">F.5 Robustez</w:t>
      </w:r>
    </w:p>
    <w:p>
      <w:pPr>
        <w:pStyle w:val="FirstParagraph"/>
      </w:pPr>
      <w:r>
        <w:t xml:space="preserve">El ordenamiento de eficiencia es estable frente a las tres decisiones de especificación: la elección de orientación, el conjunto de outputs y la definición del insumo fiscal.</w:t>
      </w:r>
    </w:p>
    <w:p>
      <w:pPr>
        <w:pStyle w:val="TableCaption"/>
      </w:pPr>
      <w:r>
        <w:t xml:space="preserve">Tabla F.5 — Estabilidad del ranking de eficiencia (correlación de Spearman entre especificaciones)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F.5 — Estabilidad del ranking de eficiencia (correlación de Spearman entre especificaciones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vs output (scores)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vs output (corregidos)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vs PIB valor agregado (36 DMU)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vs gasto rural amplio (81 DMU)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0,960</w:t>
            </w:r>
          </w:p>
        </w:tc>
      </w:tr>
    </w:tbl>
    <w:p>
      <w:pPr>
        <w:pStyle w:val="BodyText"/>
      </w:pPr>
      <w:r>
        <w:t xml:space="preserve">Todas las correlaciones son ≥ 0,83, lo que indica que el ranking es robusto a la especificación.</w:t>
      </w:r>
    </w:p>
    <w:bookmarkEnd w:id="24"/>
    <w:bookmarkStart w:id="25" w:name="f.6-próximos-pasos"/>
    <w:p>
      <w:pPr>
        <w:pStyle w:val="Heading2"/>
      </w:pPr>
      <w:r>
        <w:t xml:space="preserve">F.6 Próximos pasos</w:t>
      </w:r>
    </w:p>
    <w:p>
      <w:pPr>
        <w:pStyle w:val="Compact"/>
        <w:numPr>
          <w:ilvl w:val="0"/>
          <w:numId w:val="1001"/>
        </w:numPr>
      </w:pPr>
      <w:r>
        <w:t xml:space="preserve">Firma TTL del ADR-0016 y</w:t>
      </w:r>
      <w:r>
        <w:t xml:space="preserve"> </w:t>
      </w:r>
      <w:r>
        <w:rPr>
          <w:rStyle w:val="VerbatimChar"/>
        </w:rPr>
        <w:t xml:space="preserve">renv::snapshot()</w:t>
      </w:r>
      <w:r>
        <w:t xml:space="preserve"> </w:t>
      </w:r>
      <w:r>
        <w:t xml:space="preserve">para fijar</w:t>
      </w:r>
      <w:r>
        <w:t xml:space="preserve"> </w:t>
      </w:r>
      <w:r>
        <w:rPr>
          <w:rStyle w:val="VerbatimChar"/>
        </w:rPr>
        <w:t xml:space="preserve">Benchmarking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truncreg</w:t>
      </w:r>
      <w:r>
        <w:t xml:space="preserve"> </w:t>
      </w:r>
      <w:r>
        <w:t xml:space="preserve">en el lockfile.</w:t>
      </w:r>
    </w:p>
    <w:p>
      <w:pPr>
        <w:pStyle w:val="Compact"/>
        <w:numPr>
          <w:ilvl w:val="0"/>
          <w:numId w:val="1001"/>
        </w:numPr>
      </w:pPr>
      <w:r>
        <w:t xml:space="preserve">Índice de productividad Malmquist (cambio técnico year-over-year) como extensión, si la mesa técnica lo requiere.</w:t>
      </w:r>
    </w:p>
    <w:p>
      <w:pPr>
        <w:pStyle w:val="Compact"/>
        <w:numPr>
          <w:ilvl w:val="0"/>
          <w:numId w:val="1001"/>
        </w:numPr>
      </w:pPr>
      <w:r>
        <w:t xml:space="preserve">Cross-check con stochastic frontier (Box 11 del PER Sub-Sahariana, FAO 2021) como contraste metodológico referencial.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Fuente de todas las cifras: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01_data/processed/dea_simar_wilson_results.rds</w:t>
      </w:r>
      <w:r>
        <w:rPr>
          <w:i/>
          <w:iCs/>
        </w:rPr>
        <w:t xml:space="preserve">, generado por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02_code/03_analysis/03_dea_efficiency.R</w:t>
      </w:r>
      <w:r>
        <w:rPr>
          <w:i/>
          <w:iCs/>
        </w:rPr>
        <w:t xml:space="preserve"> </w:t>
      </w:r>
      <w:r>
        <w:rPr>
          <w:i/>
          <w:iCs/>
        </w:rPr>
        <w:t xml:space="preserve">sobre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dea_dataset.rds</w:t>
      </w:r>
      <w:r>
        <w:rPr>
          <w:i/>
          <w:iCs/>
        </w:rPr>
        <w:t xml:space="preserve"> </w:t>
      </w:r>
      <w:r>
        <w:rPr>
          <w:i/>
          <w:iCs/>
        </w:rPr>
        <w:t xml:space="preserve">bajo el ADR-0016. Referencias metodológicas: Simar y Wilson (1998, 2007); FAO (2021, PER Sub-Sahariana, Box 11).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Apéndice F — Resultados DEA Simar-Wilson</dc:title>
  <dc:creator/>
  <dc:language>es</dc:language>
  <cp:keywords/>
  <dcterms:created xsi:type="dcterms:W3CDTF">2026-06-15T00:37:51Z</dcterms:created>
  <dcterms:modified xsi:type="dcterms:W3CDTF">2026-06-15T00:37:51Z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Frontera de eficiencia técnica del gasto agropecuario departamental, 2012–2020</vt:lpwstr>
  </property>
  <property fmtid="{D5CDD505-2E9C-101B-9397-08002B2CF9AE}" pid="9" name="toc-title">
    <vt:lpwstr>Tabla de contenidos</vt:lpwstr>
  </property>
</Properties>
</file>