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C6F08" w14:textId="77777777" w:rsidR="00E15E36" w:rsidRPr="00581451" w:rsidRDefault="00E15E36" w:rsidP="00E15E36">
      <w:pPr>
        <w:jc w:val="center"/>
        <w:rPr>
          <w:rFonts w:ascii="Arial" w:hAnsi="Arial" w:cs="Arial"/>
          <w:sz w:val="24"/>
          <w:szCs w:val="24"/>
          <w:shd w:val="clear" w:color="auto" w:fill="FAFAFA"/>
          <w:lang w:val="es-CO"/>
        </w:rPr>
      </w:pPr>
      <w:r w:rsidRPr="00581451">
        <w:rPr>
          <w:rFonts w:ascii="Arial" w:hAnsi="Arial" w:cs="Arial"/>
          <w:sz w:val="24"/>
          <w:szCs w:val="24"/>
          <w:shd w:val="clear" w:color="auto" w:fill="FAFAFA"/>
          <w:lang w:val="es-CO"/>
        </w:rPr>
        <w:t>CÁLCULO DE INDICADORES DEMOGRÁFICOS</w:t>
      </w:r>
    </w:p>
    <w:p w14:paraId="1792EC89" w14:textId="119C5914" w:rsidR="00B30E3A" w:rsidRPr="00581451" w:rsidRDefault="00E15E36" w:rsidP="00903F5F">
      <w:pPr>
        <w:spacing w:line="360" w:lineRule="auto"/>
        <w:jc w:val="center"/>
        <w:rPr>
          <w:rFonts w:ascii="Arial" w:hAnsi="Arial" w:cs="Arial"/>
          <w:b/>
          <w:bCs/>
          <w:sz w:val="24"/>
          <w:szCs w:val="24"/>
          <w:shd w:val="clear" w:color="auto" w:fill="FAFAFA"/>
          <w:lang w:val="es-CO"/>
        </w:rPr>
      </w:pPr>
      <w:r w:rsidRPr="00581451">
        <w:rPr>
          <w:rFonts w:ascii="Arial" w:hAnsi="Arial" w:cs="Arial"/>
          <w:b/>
          <w:bCs/>
          <w:sz w:val="24"/>
          <w:szCs w:val="24"/>
          <w:shd w:val="clear" w:color="auto" w:fill="FAFAFA"/>
          <w:lang w:val="es-CO"/>
        </w:rPr>
        <w:t>Índice de dependencia económica -IDE</w:t>
      </w:r>
    </w:p>
    <w:tbl>
      <w:tblPr>
        <w:tblStyle w:val="Tablaconcuadrcula"/>
        <w:tblW w:w="0" w:type="auto"/>
        <w:jc w:val="center"/>
        <w:tblInd w:w="0" w:type="dxa"/>
        <w:tblLook w:val="04A0" w:firstRow="1" w:lastRow="0" w:firstColumn="1" w:lastColumn="0" w:noHBand="0" w:noVBand="1"/>
      </w:tblPr>
      <w:tblGrid>
        <w:gridCol w:w="2488"/>
        <w:gridCol w:w="1671"/>
        <w:gridCol w:w="1213"/>
        <w:gridCol w:w="744"/>
        <w:gridCol w:w="1567"/>
        <w:gridCol w:w="1711"/>
      </w:tblGrid>
      <w:tr w:rsidR="00E15E36" w:rsidRPr="00581451" w14:paraId="71F27FBB" w14:textId="77777777" w:rsidTr="00903F5F">
        <w:trPr>
          <w:trHeight w:val="283"/>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29C18A" w14:textId="77777777" w:rsidR="00E15E36" w:rsidRPr="00581451" w:rsidRDefault="00E15E36" w:rsidP="00E15E36">
            <w:pPr>
              <w:jc w:val="center"/>
              <w:rPr>
                <w:rFonts w:ascii="Arial" w:hAnsi="Arial" w:cs="Arial"/>
                <w:b/>
                <w:bCs/>
                <w:sz w:val="20"/>
                <w:szCs w:val="20"/>
              </w:rPr>
            </w:pPr>
            <w:r w:rsidRPr="00581451">
              <w:rPr>
                <w:rFonts w:ascii="Arial" w:hAnsi="Arial" w:cs="Arial"/>
                <w:b/>
                <w:bCs/>
                <w:sz w:val="20"/>
                <w:szCs w:val="20"/>
              </w:rPr>
              <w:t>Índice de dependencia económica - IDE</w:t>
            </w:r>
          </w:p>
        </w:tc>
      </w:tr>
      <w:tr w:rsidR="00D84806" w:rsidRPr="00581451" w14:paraId="5EE327A2" w14:textId="77777777" w:rsidTr="00903F5F">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F1B1666" w14:textId="77777777" w:rsidR="00E15E36" w:rsidRPr="00581451" w:rsidRDefault="00E15E36" w:rsidP="006973B6">
            <w:pPr>
              <w:rPr>
                <w:rFonts w:ascii="Arial" w:hAnsi="Arial" w:cs="Arial"/>
                <w:b/>
                <w:bCs/>
                <w:sz w:val="20"/>
                <w:szCs w:val="20"/>
              </w:rPr>
            </w:pPr>
            <w:r w:rsidRPr="00581451">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4D3755CB" w14:textId="553A4B58" w:rsidR="00E15E36" w:rsidRPr="00581451" w:rsidRDefault="00E15E36" w:rsidP="006973B6">
            <w:pPr>
              <w:rPr>
                <w:rFonts w:ascii="Arial" w:hAnsi="Arial" w:cs="Arial"/>
                <w:sz w:val="20"/>
                <w:szCs w:val="20"/>
              </w:rPr>
            </w:pPr>
            <w:r w:rsidRPr="00581451">
              <w:rPr>
                <w:rFonts w:ascii="Arial" w:hAnsi="Arial" w:cs="Arial"/>
                <w:sz w:val="20"/>
                <w:szCs w:val="20"/>
              </w:rPr>
              <w:t>Demografía</w:t>
            </w:r>
          </w:p>
        </w:tc>
      </w:tr>
      <w:tr w:rsidR="00D84806" w:rsidRPr="00581451" w14:paraId="2A908F5F" w14:textId="77777777" w:rsidTr="00903F5F">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B74585A" w14:textId="77777777" w:rsidR="00E15E36" w:rsidRPr="00581451" w:rsidRDefault="00E15E36" w:rsidP="006973B6">
            <w:pPr>
              <w:rPr>
                <w:rFonts w:ascii="Arial" w:hAnsi="Arial" w:cs="Arial"/>
                <w:b/>
                <w:bCs/>
                <w:sz w:val="20"/>
                <w:szCs w:val="20"/>
              </w:rPr>
            </w:pPr>
            <w:r w:rsidRPr="00581451">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hideMark/>
          </w:tcPr>
          <w:p w14:paraId="5648827E" w14:textId="77777777" w:rsidR="00E15E36" w:rsidRPr="00581451" w:rsidRDefault="00E15E36" w:rsidP="006973B6">
            <w:pPr>
              <w:jc w:val="both"/>
              <w:rPr>
                <w:rFonts w:ascii="Arial" w:hAnsi="Arial" w:cs="Arial"/>
                <w:sz w:val="20"/>
                <w:szCs w:val="20"/>
              </w:rPr>
            </w:pPr>
            <w:r w:rsidRPr="00581451">
              <w:rPr>
                <w:rFonts w:ascii="Arial" w:hAnsi="Arial" w:cs="Arial"/>
                <w:sz w:val="20"/>
                <w:szCs w:val="20"/>
              </w:rPr>
              <w:t>Es la medida comúnmente utilizada para medir la necesidad potencial de soporte social de la población en edades inactivas por parte de la población en edades activas. Para su cálculo se obtiene el cociente entre el conjunto de personas que se ubican por encima de 65 años y por debajo de 15 años, respecto a la población que se encuentra entre 15 y 65 años.</w:t>
            </w:r>
          </w:p>
          <w:p w14:paraId="6F1EE7AC" w14:textId="77777777" w:rsidR="003F602E" w:rsidRPr="00581451" w:rsidRDefault="003F602E" w:rsidP="006973B6">
            <w:pPr>
              <w:jc w:val="both"/>
              <w:rPr>
                <w:rFonts w:ascii="Arial" w:hAnsi="Arial" w:cs="Arial"/>
                <w:sz w:val="20"/>
                <w:szCs w:val="20"/>
              </w:rPr>
            </w:pPr>
          </w:p>
          <w:p w14:paraId="496E611E" w14:textId="1D4D3E55" w:rsidR="003F602E" w:rsidRPr="00581451" w:rsidRDefault="003F602E" w:rsidP="006973B6">
            <w:pPr>
              <w:jc w:val="both"/>
              <w:rPr>
                <w:rFonts w:ascii="Arial" w:hAnsi="Arial" w:cs="Arial"/>
                <w:sz w:val="20"/>
                <w:szCs w:val="20"/>
              </w:rPr>
            </w:pPr>
            <w:r w:rsidRPr="00581451">
              <w:rPr>
                <w:rFonts w:ascii="Arial" w:hAnsi="Arial" w:cs="Arial"/>
                <w:sz w:val="20"/>
                <w:szCs w:val="20"/>
              </w:rPr>
              <w:t xml:space="preserve">Para el cálculo del indicador se utilizarán los siguientes grupos poblacionales: </w:t>
            </w:r>
            <w:r w:rsidR="00866684" w:rsidRPr="00581451">
              <w:rPr>
                <w:rFonts w:ascii="Arial" w:hAnsi="Arial" w:cs="Arial"/>
                <w:sz w:val="20"/>
                <w:szCs w:val="20"/>
              </w:rPr>
              <w:t>afrodescendientes y campesinado.</w:t>
            </w:r>
          </w:p>
        </w:tc>
      </w:tr>
      <w:tr w:rsidR="00D84806" w:rsidRPr="00581451" w14:paraId="0F3E8ED6" w14:textId="77777777" w:rsidTr="00903F5F">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6D8F054" w14:textId="77777777" w:rsidR="00E15E36" w:rsidRPr="00581451" w:rsidRDefault="00E15E36" w:rsidP="006973B6">
            <w:pPr>
              <w:rPr>
                <w:rFonts w:ascii="Arial" w:hAnsi="Arial" w:cs="Arial"/>
                <w:b/>
                <w:bCs/>
                <w:sz w:val="20"/>
                <w:szCs w:val="20"/>
              </w:rPr>
            </w:pPr>
            <w:r w:rsidRPr="00581451">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4B887E90" w14:textId="77777777" w:rsidR="00E15E36" w:rsidRPr="00581451" w:rsidRDefault="00E15E36" w:rsidP="006973B6">
            <w:pPr>
              <w:jc w:val="both"/>
              <w:rPr>
                <w:rFonts w:ascii="Arial" w:eastAsiaTheme="minorEastAsia" w:hAnsi="Arial" w:cs="Arial"/>
                <w:b/>
                <w:bCs/>
                <w:iCs/>
                <w:sz w:val="20"/>
                <w:szCs w:val="20"/>
              </w:rPr>
            </w:pPr>
          </w:p>
          <w:p w14:paraId="4E6C2F0E" w14:textId="77777777" w:rsidR="00E15E36" w:rsidRPr="00581451" w:rsidRDefault="00E15E36" w:rsidP="006973B6">
            <w:pPr>
              <w:jc w:val="both"/>
              <w:rPr>
                <w:rFonts w:ascii="Arial" w:eastAsiaTheme="minorEastAsia" w:hAnsi="Arial" w:cs="Arial"/>
                <w:b/>
                <w:bCs/>
                <w:iCs/>
                <w:sz w:val="20"/>
                <w:szCs w:val="20"/>
              </w:rPr>
            </w:pPr>
            <m:oMathPara>
              <m:oMath>
                <m:r>
                  <m:rPr>
                    <m:sty m:val="bi"/>
                  </m:rPr>
                  <w:rPr>
                    <w:rFonts w:ascii="Cambria Math" w:eastAsiaTheme="minorEastAsia" w:hAnsi="Cambria Math" w:cs="Arial"/>
                    <w:sz w:val="20"/>
                    <w:szCs w:val="20"/>
                  </w:rPr>
                  <m:t>IDEA=</m:t>
                </m:r>
                <m:d>
                  <m:dPr>
                    <m:ctrlPr>
                      <w:rPr>
                        <w:rFonts w:ascii="Cambria Math" w:eastAsiaTheme="minorEastAsia" w:hAnsi="Cambria Math" w:cs="Arial"/>
                        <w:b/>
                        <w:bCs/>
                        <w:i/>
                        <w:iCs/>
                        <w:sz w:val="20"/>
                        <w:szCs w:val="20"/>
                      </w:rPr>
                    </m:ctrlPr>
                  </m:dPr>
                  <m:e>
                    <m:f>
                      <m:fPr>
                        <m:ctrlPr>
                          <w:rPr>
                            <w:rFonts w:ascii="Cambria Math" w:eastAsiaTheme="minorEastAsia" w:hAnsi="Cambria Math" w:cs="Arial"/>
                            <w:b/>
                            <w:bCs/>
                            <w:i/>
                            <w:iCs/>
                            <w:sz w:val="20"/>
                            <w:szCs w:val="20"/>
                          </w:rPr>
                        </m:ctrlPr>
                      </m:fPr>
                      <m:num>
                        <m:r>
                          <m:rPr>
                            <m:sty m:val="bi"/>
                          </m:rPr>
                          <w:rPr>
                            <w:rFonts w:ascii="Cambria Math" w:eastAsiaTheme="minorEastAsia" w:hAnsi="Cambria Math" w:cs="Arial"/>
                            <w:sz w:val="20"/>
                            <w:szCs w:val="20"/>
                          </w:rPr>
                          <m:t>PI</m:t>
                        </m:r>
                      </m:num>
                      <m:den>
                        <m:r>
                          <m:rPr>
                            <m:sty m:val="bi"/>
                          </m:rPr>
                          <w:rPr>
                            <w:rFonts w:ascii="Cambria Math" w:eastAsiaTheme="minorEastAsia" w:hAnsi="Cambria Math" w:cs="Arial"/>
                            <w:sz w:val="20"/>
                            <w:szCs w:val="20"/>
                          </w:rPr>
                          <m:t>PPA</m:t>
                        </m:r>
                      </m:den>
                    </m:f>
                  </m:e>
                </m:d>
                <m:r>
                  <m:rPr>
                    <m:sty m:val="bi"/>
                  </m:rPr>
                  <w:rPr>
                    <w:rFonts w:ascii="Cambria Math" w:eastAsiaTheme="minorEastAsia" w:hAnsi="Cambria Math" w:cs="Arial"/>
                    <w:sz w:val="20"/>
                    <w:szCs w:val="20"/>
                  </w:rPr>
                  <m:t>*100</m:t>
                </m:r>
              </m:oMath>
            </m:oMathPara>
          </w:p>
          <w:p w14:paraId="275616A3" w14:textId="77777777" w:rsidR="00E15E36" w:rsidRPr="00581451" w:rsidRDefault="00E15E36" w:rsidP="006973B6">
            <w:pPr>
              <w:jc w:val="both"/>
              <w:rPr>
                <w:rFonts w:ascii="Arial" w:eastAsiaTheme="minorEastAsia" w:hAnsi="Arial" w:cs="Arial"/>
                <w:b/>
                <w:bCs/>
                <w:iCs/>
                <w:sz w:val="20"/>
                <w:szCs w:val="20"/>
              </w:rPr>
            </w:pPr>
          </w:p>
          <w:p w14:paraId="2CAF29EE" w14:textId="77777777" w:rsidR="00E15E36" w:rsidRPr="00581451" w:rsidRDefault="00E15E36" w:rsidP="006973B6">
            <w:pPr>
              <w:jc w:val="both"/>
              <w:rPr>
                <w:rFonts w:ascii="Arial" w:eastAsiaTheme="minorEastAsia" w:hAnsi="Arial" w:cs="Arial"/>
                <w:iCs/>
                <w:sz w:val="20"/>
                <w:szCs w:val="20"/>
              </w:rPr>
            </w:pPr>
            <w:r w:rsidRPr="00581451">
              <w:rPr>
                <w:rFonts w:ascii="Arial" w:eastAsiaTheme="minorEastAsia" w:hAnsi="Arial" w:cs="Arial"/>
                <w:iCs/>
                <w:sz w:val="20"/>
                <w:szCs w:val="20"/>
              </w:rPr>
              <w:t>Donde:</w:t>
            </w:r>
          </w:p>
          <w:p w14:paraId="56E86A93" w14:textId="77777777" w:rsidR="00E15E36" w:rsidRPr="00581451" w:rsidRDefault="00E15E36" w:rsidP="006973B6">
            <w:pPr>
              <w:jc w:val="both"/>
              <w:rPr>
                <w:rFonts w:ascii="Arial" w:eastAsiaTheme="minorEastAsia" w:hAnsi="Arial" w:cs="Arial"/>
                <w:iCs/>
                <w:sz w:val="20"/>
                <w:szCs w:val="20"/>
              </w:rPr>
            </w:pPr>
          </w:p>
          <w:p w14:paraId="2D4D5E73" w14:textId="77777777" w:rsidR="00E15E36" w:rsidRPr="00581451" w:rsidRDefault="00E15E36" w:rsidP="006973B6">
            <w:pPr>
              <w:jc w:val="both"/>
              <w:rPr>
                <w:rFonts w:ascii="Arial" w:eastAsiaTheme="minorEastAsia" w:hAnsi="Arial" w:cs="Arial"/>
                <w:b/>
                <w:bCs/>
                <w:iCs/>
                <w:sz w:val="20"/>
                <w:szCs w:val="20"/>
              </w:rPr>
            </w:pPr>
            <m:oMath>
              <m:r>
                <m:rPr>
                  <m:sty m:val="bi"/>
                </m:rPr>
                <w:rPr>
                  <w:rFonts w:ascii="Cambria Math" w:eastAsiaTheme="minorEastAsia" w:hAnsi="Cambria Math" w:cs="Arial"/>
                  <w:sz w:val="20"/>
                  <w:szCs w:val="20"/>
                </w:rPr>
                <m:t>PI</m:t>
              </m:r>
            </m:oMath>
            <w:r w:rsidRPr="00581451">
              <w:rPr>
                <w:rFonts w:ascii="Arial" w:eastAsiaTheme="minorEastAsia" w:hAnsi="Arial" w:cs="Arial"/>
                <w:b/>
                <w:bCs/>
                <w:iCs/>
                <w:sz w:val="20"/>
                <w:szCs w:val="20"/>
              </w:rPr>
              <w:t xml:space="preserve">: </w:t>
            </w:r>
            <w:r w:rsidRPr="00581451">
              <w:rPr>
                <w:rFonts w:ascii="Arial" w:eastAsiaTheme="minorEastAsia" w:hAnsi="Arial" w:cs="Arial"/>
                <w:iCs/>
                <w:sz w:val="20"/>
                <w:szCs w:val="20"/>
              </w:rPr>
              <w:t>Población potencialmente Inactiva. Número de personas menores a 15 años o mayores a 65 años.</w:t>
            </w:r>
          </w:p>
          <w:p w14:paraId="3983C58D" w14:textId="209A9198" w:rsidR="00E15E36" w:rsidRPr="00581451" w:rsidRDefault="00E15E36" w:rsidP="006973B6">
            <w:pPr>
              <w:jc w:val="both"/>
              <w:rPr>
                <w:rFonts w:ascii="Arial" w:eastAsiaTheme="minorEastAsia" w:hAnsi="Arial" w:cs="Arial"/>
                <w:iCs/>
                <w:sz w:val="20"/>
                <w:szCs w:val="20"/>
              </w:rPr>
            </w:pPr>
            <m:oMath>
              <m:r>
                <m:rPr>
                  <m:sty m:val="bi"/>
                </m:rPr>
                <w:rPr>
                  <w:rFonts w:ascii="Cambria Math" w:eastAsiaTheme="minorEastAsia" w:hAnsi="Cambria Math" w:cs="Arial"/>
                  <w:sz w:val="20"/>
                  <w:szCs w:val="20"/>
                </w:rPr>
                <m:t>PPA</m:t>
              </m:r>
            </m:oMath>
            <w:r w:rsidRPr="00581451">
              <w:rPr>
                <w:rFonts w:ascii="Arial" w:eastAsiaTheme="minorEastAsia" w:hAnsi="Arial" w:cs="Arial"/>
                <w:b/>
                <w:bCs/>
                <w:iCs/>
                <w:sz w:val="20"/>
                <w:szCs w:val="20"/>
              </w:rPr>
              <w:t xml:space="preserve">: </w:t>
            </w:r>
            <w:r w:rsidRPr="00581451">
              <w:rPr>
                <w:rFonts w:ascii="Arial" w:eastAsiaTheme="minorEastAsia" w:hAnsi="Arial" w:cs="Arial"/>
                <w:iCs/>
                <w:sz w:val="20"/>
                <w:szCs w:val="20"/>
              </w:rPr>
              <w:t>Población potencialmente activa. Número de personas de la población entre 15 y 65 años.</w:t>
            </w:r>
          </w:p>
        </w:tc>
      </w:tr>
      <w:tr w:rsidR="00C83785" w:rsidRPr="00581451" w14:paraId="56492479" w14:textId="77777777" w:rsidTr="00903F5F">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DFA6EB2" w14:textId="1FDAD5FB" w:rsidR="00E15E36" w:rsidRPr="00581451" w:rsidRDefault="00E15E36" w:rsidP="006973B6">
            <w:pPr>
              <w:rPr>
                <w:rFonts w:ascii="Arial" w:hAnsi="Arial" w:cs="Arial"/>
                <w:b/>
                <w:bCs/>
                <w:sz w:val="20"/>
                <w:szCs w:val="20"/>
              </w:rPr>
            </w:pPr>
            <w:r w:rsidRPr="00581451">
              <w:rPr>
                <w:rFonts w:ascii="Arial" w:hAnsi="Arial" w:cs="Arial"/>
                <w:b/>
                <w:bCs/>
                <w:sz w:val="20"/>
                <w:szCs w:val="20"/>
              </w:rPr>
              <w:t>Unidad de medida</w:t>
            </w:r>
            <w:r w:rsidR="00471608" w:rsidRPr="00581451">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3B75A364" w14:textId="63112C3A" w:rsidR="00E15E36" w:rsidRPr="00581451" w:rsidRDefault="00E15E36" w:rsidP="00311345">
            <w:pPr>
              <w:jc w:val="both"/>
              <w:rPr>
                <w:rFonts w:ascii="Arial" w:hAnsi="Arial" w:cs="Arial"/>
                <w:sz w:val="20"/>
                <w:szCs w:val="20"/>
              </w:rPr>
            </w:pPr>
            <w:r w:rsidRPr="00581451">
              <w:rPr>
                <w:rFonts w:ascii="Arial" w:hAnsi="Arial" w:cs="Arial"/>
                <w:sz w:val="20"/>
                <w:szCs w:val="20"/>
              </w:rPr>
              <w:t>Porcentaje</w:t>
            </w:r>
            <w:r w:rsidR="00964BB1" w:rsidRPr="00581451">
              <w:rPr>
                <w:rFonts w:ascii="Arial" w:hAnsi="Arial" w:cs="Arial"/>
                <w:sz w:val="20"/>
                <w:szCs w:val="20"/>
              </w:rPr>
              <w:t xml:space="preserve"> de personas potencialmente inactiva</w:t>
            </w:r>
            <w:r w:rsidR="00203166" w:rsidRPr="00581451">
              <w:rPr>
                <w:rFonts w:ascii="Arial" w:hAnsi="Arial" w:cs="Arial"/>
                <w:sz w:val="20"/>
                <w:szCs w:val="20"/>
              </w:rPr>
              <w:t xml:space="preserve">s </w:t>
            </w:r>
            <w:r w:rsidR="00D84806" w:rsidRPr="00581451">
              <w:rPr>
                <w:rFonts w:ascii="Arial" w:hAnsi="Arial" w:cs="Arial"/>
                <w:sz w:val="20"/>
                <w:szCs w:val="20"/>
              </w:rPr>
              <w:t>con respecto a</w:t>
            </w:r>
            <w:r w:rsidR="00C83785" w:rsidRPr="00581451">
              <w:rPr>
                <w:rFonts w:ascii="Arial" w:hAnsi="Arial" w:cs="Arial"/>
                <w:sz w:val="20"/>
                <w:szCs w:val="20"/>
              </w:rPr>
              <w:t xml:space="preserve"> la población potencialmente activa.</w:t>
            </w:r>
            <w:r w:rsidR="00964BB1" w:rsidRPr="00581451">
              <w:rPr>
                <w:rFonts w:ascii="Arial" w:hAnsi="Arial" w:cs="Arial"/>
                <w:sz w:val="20"/>
                <w:szCs w:val="20"/>
              </w:rPr>
              <w:t xml:space="preserve"> </w:t>
            </w:r>
          </w:p>
        </w:tc>
        <w:tc>
          <w:tcPr>
            <w:tcW w:w="0" w:type="auto"/>
            <w:tcBorders>
              <w:top w:val="single" w:sz="4" w:space="0" w:color="auto"/>
              <w:left w:val="single" w:sz="4" w:space="0" w:color="auto"/>
              <w:bottom w:val="single" w:sz="4" w:space="0" w:color="auto"/>
              <w:right w:val="single" w:sz="4" w:space="0" w:color="auto"/>
            </w:tcBorders>
            <w:vAlign w:val="center"/>
            <w:hideMark/>
          </w:tcPr>
          <w:p w14:paraId="2B0A0F91" w14:textId="77777777" w:rsidR="00E15E36" w:rsidRPr="00581451" w:rsidRDefault="00E15E36" w:rsidP="006973B6">
            <w:pPr>
              <w:rPr>
                <w:rFonts w:ascii="Arial" w:hAnsi="Arial" w:cs="Arial"/>
                <w:b/>
                <w:bCs/>
                <w:sz w:val="20"/>
                <w:szCs w:val="20"/>
              </w:rPr>
            </w:pPr>
            <w:r w:rsidRPr="00581451">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3C03F828" w14:textId="77777777" w:rsidR="00E15E36" w:rsidRPr="00581451" w:rsidRDefault="00E15E36" w:rsidP="006973B6">
            <w:pPr>
              <w:rPr>
                <w:rFonts w:ascii="Arial" w:hAnsi="Arial" w:cs="Arial"/>
                <w:sz w:val="20"/>
                <w:szCs w:val="20"/>
              </w:rPr>
            </w:pPr>
            <w:r w:rsidRPr="00581451">
              <w:rPr>
                <w:rFonts w:ascii="Arial" w:hAnsi="Arial" w:cs="Arial"/>
                <w:color w:val="000000"/>
                <w:spacing w:val="-8"/>
                <w:sz w:val="20"/>
                <w:szCs w:val="20"/>
                <w:lang w:val="es-ES"/>
              </w:rPr>
              <w:t>Mayor o igual a 0</w:t>
            </w:r>
          </w:p>
        </w:tc>
        <w:tc>
          <w:tcPr>
            <w:tcW w:w="0" w:type="auto"/>
            <w:tcBorders>
              <w:top w:val="single" w:sz="4" w:space="0" w:color="auto"/>
              <w:left w:val="single" w:sz="4" w:space="0" w:color="auto"/>
              <w:bottom w:val="single" w:sz="4" w:space="0" w:color="auto"/>
              <w:right w:val="single" w:sz="4" w:space="0" w:color="auto"/>
            </w:tcBorders>
            <w:vAlign w:val="center"/>
            <w:hideMark/>
          </w:tcPr>
          <w:p w14:paraId="7F53DF22" w14:textId="77777777" w:rsidR="00E15E36" w:rsidRPr="00581451" w:rsidRDefault="00E15E36" w:rsidP="006973B6">
            <w:pPr>
              <w:rPr>
                <w:rFonts w:ascii="Arial" w:hAnsi="Arial" w:cs="Arial"/>
                <w:b/>
                <w:bCs/>
                <w:sz w:val="20"/>
                <w:szCs w:val="20"/>
              </w:rPr>
            </w:pPr>
            <w:r w:rsidRPr="00581451">
              <w:rPr>
                <w:rFonts w:ascii="Arial" w:hAnsi="Arial" w:cs="Arial"/>
                <w:b/>
                <w:bCs/>
                <w:sz w:val="20"/>
                <w:szCs w:val="20"/>
              </w:rPr>
              <w:t>Interpretación de los datos</w:t>
            </w:r>
            <w:r w:rsidRPr="00581451">
              <w:rPr>
                <w:rFonts w:ascii="Arial" w:hAnsi="Arial" w:cs="Arial"/>
                <w:b/>
                <w:bCs/>
                <w:sz w:val="20"/>
                <w:szCs w:val="20"/>
              </w:rPr>
              <w:br/>
              <w:t xml:space="preserve">(sentido del indicador): </w:t>
            </w:r>
          </w:p>
        </w:tc>
        <w:tc>
          <w:tcPr>
            <w:tcW w:w="0" w:type="auto"/>
            <w:tcBorders>
              <w:top w:val="single" w:sz="4" w:space="0" w:color="auto"/>
              <w:left w:val="single" w:sz="4" w:space="0" w:color="auto"/>
              <w:bottom w:val="single" w:sz="4" w:space="0" w:color="auto"/>
              <w:right w:val="single" w:sz="4" w:space="0" w:color="auto"/>
            </w:tcBorders>
            <w:vAlign w:val="center"/>
            <w:hideMark/>
          </w:tcPr>
          <w:p w14:paraId="4FA41BEE" w14:textId="77777777" w:rsidR="00E15E36" w:rsidRPr="00581451" w:rsidRDefault="00E15E36" w:rsidP="00FA6D31">
            <w:pPr>
              <w:jc w:val="both"/>
              <w:rPr>
                <w:rFonts w:ascii="Arial" w:hAnsi="Arial" w:cs="Arial"/>
                <w:sz w:val="20"/>
                <w:szCs w:val="20"/>
              </w:rPr>
            </w:pPr>
            <w:r w:rsidRPr="00581451">
              <w:rPr>
                <w:rFonts w:ascii="Arial" w:hAnsi="Arial" w:cs="Arial"/>
                <w:sz w:val="20"/>
                <w:szCs w:val="20"/>
              </w:rPr>
              <w:t xml:space="preserve">Si este indicador tiende a cero, el número personas dependientes es mucho menor que el número de personas de la población </w:t>
            </w:r>
          </w:p>
          <w:p w14:paraId="65D0479C" w14:textId="77777777" w:rsidR="00E15E36" w:rsidRPr="00581451" w:rsidRDefault="00E15E36" w:rsidP="00FA6D31">
            <w:pPr>
              <w:jc w:val="both"/>
              <w:rPr>
                <w:rFonts w:ascii="Arial" w:hAnsi="Arial" w:cs="Arial"/>
                <w:sz w:val="20"/>
                <w:szCs w:val="20"/>
              </w:rPr>
            </w:pPr>
            <w:r w:rsidRPr="00581451">
              <w:rPr>
                <w:rFonts w:ascii="Arial" w:hAnsi="Arial" w:cs="Arial"/>
                <w:sz w:val="20"/>
                <w:szCs w:val="20"/>
              </w:rPr>
              <w:t>potencialmente activa.</w:t>
            </w:r>
          </w:p>
          <w:p w14:paraId="025816D3" w14:textId="77777777" w:rsidR="00E15E36" w:rsidRPr="00581451" w:rsidRDefault="00E15E36" w:rsidP="00FA6D31">
            <w:pPr>
              <w:jc w:val="both"/>
              <w:rPr>
                <w:rFonts w:ascii="Arial" w:hAnsi="Arial" w:cs="Arial"/>
                <w:sz w:val="20"/>
                <w:szCs w:val="20"/>
              </w:rPr>
            </w:pPr>
          </w:p>
          <w:p w14:paraId="08704664" w14:textId="77777777" w:rsidR="00E15E36" w:rsidRPr="00581451" w:rsidRDefault="00E15E36" w:rsidP="00FA6D31">
            <w:pPr>
              <w:jc w:val="both"/>
              <w:rPr>
                <w:rFonts w:ascii="Arial" w:hAnsi="Arial" w:cs="Arial"/>
                <w:sz w:val="20"/>
                <w:szCs w:val="20"/>
              </w:rPr>
            </w:pPr>
            <w:r w:rsidRPr="00581451">
              <w:rPr>
                <w:rFonts w:ascii="Arial" w:hAnsi="Arial" w:cs="Arial"/>
                <w:sz w:val="20"/>
                <w:szCs w:val="20"/>
              </w:rPr>
              <w:t>A valores más altos, el número de personas dependientes es mayor en comparación con el total de la población potencialmente activa.</w:t>
            </w:r>
          </w:p>
        </w:tc>
      </w:tr>
      <w:tr w:rsidR="00824B81" w:rsidRPr="00581451" w14:paraId="602AC631" w14:textId="77777777" w:rsidTr="00706AA2">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tcPr>
          <w:p w14:paraId="61591E84" w14:textId="666CCE41" w:rsidR="00824B81" w:rsidRPr="00581451" w:rsidRDefault="00824B81" w:rsidP="006973B6">
            <w:pPr>
              <w:rPr>
                <w:rFonts w:ascii="Arial" w:hAnsi="Arial" w:cs="Arial"/>
                <w:b/>
                <w:bCs/>
                <w:sz w:val="20"/>
                <w:szCs w:val="20"/>
              </w:rPr>
            </w:pPr>
            <w:r w:rsidRPr="00581451">
              <w:rPr>
                <w:rFonts w:ascii="Arial" w:hAnsi="Arial" w:cs="Arial"/>
                <w:b/>
                <w:bCs/>
                <w:sz w:val="20"/>
                <w:szCs w:val="20"/>
              </w:rPr>
              <w:t>Nivel de desagregación geográfica:</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1BA33B68" w14:textId="0DAB968B" w:rsidR="00824B81" w:rsidRPr="00581451" w:rsidRDefault="00824B81" w:rsidP="00FA6D31">
            <w:pPr>
              <w:jc w:val="both"/>
              <w:rPr>
                <w:rFonts w:ascii="Arial" w:hAnsi="Arial" w:cs="Arial"/>
                <w:sz w:val="20"/>
                <w:szCs w:val="20"/>
              </w:rPr>
            </w:pPr>
            <w:r w:rsidRPr="00581451">
              <w:rPr>
                <w:rFonts w:ascii="Arial" w:hAnsi="Arial" w:cs="Arial"/>
                <w:sz w:val="20"/>
                <w:szCs w:val="20"/>
              </w:rPr>
              <w:t>Para el cálculo del indicador se realizará una desagregación geográfica a nivel de departamento, subregión, municipio, zonas, provincia y zona (urbano-rural).</w:t>
            </w:r>
          </w:p>
        </w:tc>
      </w:tr>
      <w:tr w:rsidR="00D84806" w:rsidRPr="00581451" w14:paraId="2CBDA0E4" w14:textId="77777777" w:rsidTr="00903F5F">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4F0924FE" w14:textId="77777777" w:rsidR="00E15E36" w:rsidRPr="00581451" w:rsidRDefault="00E15E36" w:rsidP="006973B6">
            <w:pPr>
              <w:rPr>
                <w:rFonts w:ascii="Arial" w:hAnsi="Arial" w:cs="Arial"/>
                <w:b/>
                <w:bCs/>
                <w:sz w:val="20"/>
                <w:szCs w:val="20"/>
              </w:rPr>
            </w:pPr>
            <w:r w:rsidRPr="00581451">
              <w:rPr>
                <w:rFonts w:ascii="Arial" w:hAnsi="Arial" w:cs="Arial"/>
                <w:b/>
                <w:bCs/>
                <w:sz w:val="20"/>
                <w:szCs w:val="20"/>
              </w:rPr>
              <w:lastRenderedPageBreak/>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tcPr>
          <w:p w14:paraId="2CDCF62C" w14:textId="77777777" w:rsidR="00E15E36" w:rsidRPr="00581451" w:rsidRDefault="00E15E36" w:rsidP="006973B6">
            <w:pPr>
              <w:rPr>
                <w:rFonts w:ascii="Arial" w:hAnsi="Arial" w:cs="Arial"/>
                <w:sz w:val="20"/>
                <w:szCs w:val="20"/>
              </w:rPr>
            </w:pPr>
          </w:p>
          <w:p w14:paraId="366EA23C" w14:textId="0A4D8C13" w:rsidR="00E15E36" w:rsidRPr="00581451" w:rsidRDefault="00E15E36" w:rsidP="006973B6">
            <w:pPr>
              <w:jc w:val="both"/>
              <w:rPr>
                <w:rFonts w:ascii="Arial" w:hAnsi="Arial" w:cs="Arial"/>
                <w:sz w:val="20"/>
                <w:szCs w:val="20"/>
              </w:rPr>
            </w:pPr>
            <w:r w:rsidRPr="00581451">
              <w:rPr>
                <w:rFonts w:ascii="Arial" w:hAnsi="Arial" w:cs="Arial"/>
                <w:b/>
                <w:bCs/>
                <w:sz w:val="20"/>
                <w:szCs w:val="20"/>
              </w:rPr>
              <w:t>Población potencialmente Inactiva</w:t>
            </w:r>
            <w:r w:rsidRPr="00581451">
              <w:rPr>
                <w:rFonts w:ascii="Arial" w:hAnsi="Arial" w:cs="Arial"/>
                <w:sz w:val="20"/>
                <w:szCs w:val="20"/>
              </w:rPr>
              <w:t xml:space="preserve"> (</w:t>
            </w:r>
            <m:oMath>
              <m:r>
                <m:rPr>
                  <m:sty m:val="bi"/>
                </m:rPr>
                <w:rPr>
                  <w:rFonts w:ascii="Cambria Math" w:eastAsiaTheme="minorEastAsia" w:hAnsi="Cambria Math" w:cs="Arial"/>
                  <w:sz w:val="20"/>
                  <w:szCs w:val="20"/>
                </w:rPr>
                <m:t>PI</m:t>
              </m:r>
            </m:oMath>
            <w:r w:rsidR="001B41EB" w:rsidRPr="00581451">
              <w:rPr>
                <w:rFonts w:ascii="Arial" w:hAnsi="Arial" w:cs="Arial"/>
                <w:sz w:val="20"/>
                <w:szCs w:val="20"/>
              </w:rPr>
              <w:t>):</w:t>
            </w:r>
            <w:r w:rsidRPr="00581451">
              <w:rPr>
                <w:rFonts w:ascii="Arial" w:hAnsi="Arial" w:cs="Arial"/>
                <w:sz w:val="20"/>
                <w:szCs w:val="20"/>
              </w:rPr>
              <w:t xml:space="preserve"> Número de personas menores a 15 años o mayores a 65 años.</w:t>
            </w:r>
          </w:p>
          <w:p w14:paraId="4390D709" w14:textId="77777777" w:rsidR="00903F5F" w:rsidRPr="00581451" w:rsidRDefault="00903F5F" w:rsidP="006973B6">
            <w:pPr>
              <w:jc w:val="both"/>
              <w:rPr>
                <w:rFonts w:ascii="Arial" w:hAnsi="Arial" w:cs="Arial"/>
                <w:sz w:val="20"/>
                <w:szCs w:val="20"/>
              </w:rPr>
            </w:pPr>
          </w:p>
          <w:p w14:paraId="4D52A4AC" w14:textId="5673AAE2" w:rsidR="00E15E36" w:rsidRPr="00581451" w:rsidRDefault="00E15E36" w:rsidP="006973B6">
            <w:pPr>
              <w:jc w:val="both"/>
              <w:rPr>
                <w:rFonts w:ascii="Arial" w:hAnsi="Arial" w:cs="Arial"/>
                <w:sz w:val="20"/>
                <w:szCs w:val="20"/>
              </w:rPr>
            </w:pPr>
            <w:r w:rsidRPr="00581451">
              <w:rPr>
                <w:rFonts w:ascii="Arial" w:hAnsi="Arial" w:cs="Arial"/>
                <w:b/>
                <w:bCs/>
                <w:sz w:val="20"/>
                <w:szCs w:val="20"/>
              </w:rPr>
              <w:t>Población potencialmente activa</w:t>
            </w:r>
            <w:r w:rsidRPr="00581451">
              <w:rPr>
                <w:rFonts w:ascii="Arial" w:hAnsi="Arial" w:cs="Arial"/>
                <w:sz w:val="20"/>
                <w:szCs w:val="20"/>
              </w:rPr>
              <w:t xml:space="preserve"> (</w:t>
            </w:r>
            <m:oMath>
              <m:r>
                <m:rPr>
                  <m:sty m:val="bi"/>
                </m:rPr>
                <w:rPr>
                  <w:rFonts w:ascii="Cambria Math" w:eastAsiaTheme="minorEastAsia" w:hAnsi="Cambria Math" w:cs="Arial"/>
                  <w:sz w:val="20"/>
                  <w:szCs w:val="20"/>
                </w:rPr>
                <m:t>PPA</m:t>
              </m:r>
            </m:oMath>
            <w:r w:rsidR="001B41EB" w:rsidRPr="00581451">
              <w:rPr>
                <w:rFonts w:ascii="Arial" w:hAnsi="Arial" w:cs="Arial"/>
                <w:sz w:val="20"/>
                <w:szCs w:val="20"/>
              </w:rPr>
              <w:t>):</w:t>
            </w:r>
            <w:r w:rsidRPr="00581451">
              <w:rPr>
                <w:rFonts w:ascii="Arial" w:hAnsi="Arial" w:cs="Arial"/>
                <w:sz w:val="20"/>
                <w:szCs w:val="20"/>
              </w:rPr>
              <w:t xml:space="preserve"> Número de personas de la población entre 15 y 65 años.</w:t>
            </w:r>
          </w:p>
          <w:p w14:paraId="76844242" w14:textId="77777777" w:rsidR="00E15E36" w:rsidRPr="00581451" w:rsidRDefault="00E15E36" w:rsidP="006973B6">
            <w:pPr>
              <w:rPr>
                <w:rFonts w:ascii="Arial" w:hAnsi="Arial" w:cs="Arial"/>
                <w:sz w:val="20"/>
                <w:szCs w:val="20"/>
              </w:rPr>
            </w:pPr>
          </w:p>
          <w:p w14:paraId="4AEECDC5" w14:textId="77777777" w:rsidR="00E15E36" w:rsidRPr="00581451" w:rsidRDefault="00E15E36" w:rsidP="006973B6">
            <w:pPr>
              <w:rPr>
                <w:rFonts w:ascii="Arial" w:hAnsi="Arial" w:cs="Arial"/>
                <w:sz w:val="20"/>
                <w:szCs w:val="20"/>
              </w:rPr>
            </w:pPr>
            <w:r w:rsidRPr="00581451">
              <w:rPr>
                <w:rFonts w:ascii="Arial" w:hAnsi="Arial" w:cs="Arial"/>
                <w:sz w:val="20"/>
                <w:szCs w:val="20"/>
              </w:rPr>
              <w:t>Sean las variables:</w:t>
            </w:r>
          </w:p>
          <w:p w14:paraId="4658D8B5" w14:textId="77777777" w:rsidR="00E15E36" w:rsidRPr="00581451" w:rsidRDefault="00E15E36" w:rsidP="006973B6">
            <w:pPr>
              <w:rPr>
                <w:rFonts w:ascii="Arial" w:hAnsi="Arial" w:cs="Arial"/>
                <w:b/>
                <w:bCs/>
                <w:sz w:val="20"/>
                <w:szCs w:val="20"/>
              </w:rPr>
            </w:pPr>
          </w:p>
          <w:p w14:paraId="600CE617" w14:textId="084DD973" w:rsidR="00E15E36" w:rsidRPr="00581451" w:rsidRDefault="00581451" w:rsidP="006973B6">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E15E36" w:rsidRPr="00581451">
              <w:rPr>
                <w:rFonts w:ascii="Arial" w:hAnsi="Arial" w:cs="Arial"/>
                <w:sz w:val="20"/>
                <w:szCs w:val="20"/>
              </w:rPr>
              <w:t>: Edad</w:t>
            </w:r>
          </w:p>
          <w:p w14:paraId="69E3F671" w14:textId="77777777" w:rsidR="00E15E36" w:rsidRPr="00581451" w:rsidRDefault="00E15E36" w:rsidP="00544FC4">
            <w:pPr>
              <w:rPr>
                <w:rFonts w:ascii="Arial" w:eastAsia="Arial" w:hAnsi="Arial" w:cs="Arial"/>
                <w:b/>
                <w:bCs/>
                <w:kern w:val="0"/>
                <w:sz w:val="20"/>
                <w:szCs w:val="20"/>
                <w14:ligatures w14:val="none"/>
              </w:rPr>
            </w:pPr>
          </w:p>
          <w:p w14:paraId="69723114" w14:textId="096BB8C6" w:rsidR="00E15E36" w:rsidRPr="00581451" w:rsidRDefault="00E15E36" w:rsidP="006973B6">
            <w:pPr>
              <w:rPr>
                <w:rFonts w:ascii="Arial" w:eastAsia="Arial" w:hAnsi="Arial" w:cs="Arial"/>
                <w:b/>
                <w:bCs/>
                <w:kern w:val="0"/>
                <w:sz w:val="20"/>
                <w:szCs w:val="20"/>
                <w14:ligatures w14:val="none"/>
              </w:rPr>
            </w:pPr>
            <w:r w:rsidRPr="00581451">
              <w:rPr>
                <w:rFonts w:ascii="Arial" w:eastAsia="Arial" w:hAnsi="Arial" w:cs="Arial"/>
                <w:b/>
                <w:bCs/>
                <w:kern w:val="0"/>
                <w:sz w:val="20"/>
                <w:szCs w:val="20"/>
                <w14:ligatures w14:val="none"/>
              </w:rPr>
              <w:t>Construcción del numerador (</w:t>
            </w:r>
            <m:oMath>
              <m:r>
                <m:rPr>
                  <m:sty m:val="bi"/>
                </m:rPr>
                <w:rPr>
                  <w:rFonts w:ascii="Cambria Math" w:eastAsiaTheme="minorEastAsia" w:hAnsi="Cambria Math" w:cs="Arial"/>
                  <w:sz w:val="20"/>
                  <w:szCs w:val="20"/>
                </w:rPr>
                <m:t>PI</m:t>
              </m:r>
            </m:oMath>
            <w:r w:rsidR="001B41EB" w:rsidRPr="00581451">
              <w:rPr>
                <w:rFonts w:ascii="Arial" w:eastAsia="Arial" w:hAnsi="Arial" w:cs="Arial"/>
                <w:b/>
                <w:bCs/>
                <w:kern w:val="0"/>
                <w:sz w:val="20"/>
                <w:szCs w:val="20"/>
                <w14:ligatures w14:val="none"/>
              </w:rPr>
              <w:t>):</w:t>
            </w:r>
          </w:p>
          <w:p w14:paraId="5CD1B8E9" w14:textId="77777777" w:rsidR="00E15E36" w:rsidRPr="00581451" w:rsidRDefault="00E15E36" w:rsidP="006973B6">
            <w:pPr>
              <w:rPr>
                <w:rFonts w:ascii="Arial" w:eastAsia="Arial" w:hAnsi="Arial" w:cs="Arial"/>
                <w:b/>
                <w:bCs/>
                <w:kern w:val="0"/>
                <w:sz w:val="20"/>
                <w:szCs w:val="20"/>
                <w14:ligatures w14:val="none"/>
              </w:rPr>
            </w:pPr>
          </w:p>
          <w:p w14:paraId="74AFAB04" w14:textId="77777777" w:rsidR="00E15E36" w:rsidRPr="00581451" w:rsidRDefault="00E15E36" w:rsidP="00AD4B0D">
            <w:pPr>
              <w:pStyle w:val="Prrafodelista"/>
              <w:numPr>
                <w:ilvl w:val="0"/>
                <w:numId w:val="1"/>
              </w:numPr>
              <w:spacing w:line="240" w:lineRule="auto"/>
              <w:jc w:val="both"/>
              <w:rPr>
                <w:rFonts w:ascii="Arial" w:eastAsia="Arial" w:hAnsi="Arial" w:cs="Arial"/>
                <w:kern w:val="0"/>
                <w:sz w:val="20"/>
                <w:szCs w:val="20"/>
                <w14:ligatures w14:val="none"/>
              </w:rPr>
            </w:pPr>
            <w:r w:rsidRPr="00581451">
              <w:rPr>
                <w:rFonts w:ascii="Arial" w:eastAsia="Arial" w:hAnsi="Arial" w:cs="Arial"/>
                <w:kern w:val="0"/>
                <w:sz w:val="20"/>
                <w:szCs w:val="20"/>
                <w14:ligatures w14:val="none"/>
              </w:rPr>
              <w:t xml:space="preserve">En cada territorio bajo análisis se selecciona la población potencialmente inactiva empleando el siguiente filtro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21</m:t>
                  </m:r>
                </m:sub>
              </m:sSub>
              <m:r>
                <m:rPr>
                  <m:sty m:val="bi"/>
                </m:rPr>
                <w:rPr>
                  <w:rFonts w:ascii="Cambria Math" w:hAnsi="Cambria Math" w:cs="Arial"/>
                </w:rPr>
                <m:t>&gt;</m:t>
              </m:r>
            </m:oMath>
            <w:r w:rsidRPr="00581451">
              <w:rPr>
                <w:rFonts w:ascii="Arial" w:eastAsia="Arial" w:hAnsi="Arial" w:cs="Arial"/>
                <w:b/>
                <w:bCs/>
              </w:rPr>
              <w:t xml:space="preserve"> </w:t>
            </w:r>
            <w:r w:rsidRPr="00581451">
              <w:rPr>
                <w:rFonts w:ascii="Arial" w:eastAsia="Arial" w:hAnsi="Arial" w:cs="Arial"/>
                <w:sz w:val="20"/>
                <w:szCs w:val="20"/>
              </w:rPr>
              <w:t>65</w:t>
            </w:r>
            <w:r w:rsidRPr="00581451">
              <w:rPr>
                <w:rFonts w:ascii="Arial" w:eastAsia="Arial" w:hAnsi="Arial" w:cs="Arial"/>
              </w:rPr>
              <w:t xml:space="preserve"> 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21</m:t>
                  </m:r>
                </m:sub>
              </m:sSub>
              <m:r>
                <m:rPr>
                  <m:sty m:val="bi"/>
                </m:rPr>
                <w:rPr>
                  <w:rFonts w:ascii="Cambria Math" w:hAnsi="Cambria Math" w:cs="Arial"/>
                </w:rPr>
                <m:t>&lt;</m:t>
              </m:r>
            </m:oMath>
            <w:r w:rsidRPr="00581451">
              <w:rPr>
                <w:rFonts w:ascii="Arial" w:eastAsia="Arial" w:hAnsi="Arial" w:cs="Arial"/>
                <w:b/>
                <w:bCs/>
              </w:rPr>
              <w:t xml:space="preserve"> </w:t>
            </w:r>
            <w:r w:rsidRPr="00581451">
              <w:rPr>
                <w:rFonts w:ascii="Arial" w:eastAsia="Arial" w:hAnsi="Arial" w:cs="Arial"/>
                <w:sz w:val="20"/>
                <w:szCs w:val="20"/>
              </w:rPr>
              <w:t>15.</w:t>
            </w:r>
          </w:p>
          <w:p w14:paraId="1240B9A2" w14:textId="77777777" w:rsidR="00E15E36" w:rsidRPr="00581451" w:rsidRDefault="00E15E36" w:rsidP="00AD4B0D">
            <w:pPr>
              <w:pStyle w:val="Prrafodelista"/>
              <w:numPr>
                <w:ilvl w:val="0"/>
                <w:numId w:val="1"/>
              </w:numPr>
              <w:rPr>
                <w:rFonts w:ascii="Arial" w:hAnsi="Arial" w:cs="Arial"/>
                <w:color w:val="000000"/>
                <w:spacing w:val="3"/>
                <w:sz w:val="20"/>
                <w:szCs w:val="20"/>
                <w:lang w:val="es-ES"/>
              </w:rPr>
            </w:pPr>
            <w:r w:rsidRPr="00581451">
              <w:rPr>
                <w:rFonts w:ascii="Arial" w:hAnsi="Arial" w:cs="Arial"/>
                <w:color w:val="000000"/>
                <w:spacing w:val="3"/>
                <w:sz w:val="20"/>
                <w:szCs w:val="20"/>
                <w:lang w:val="es-ES"/>
              </w:rPr>
              <w:t>Se realiza el conteo del número de personas del paso anterior</w:t>
            </w:r>
          </w:p>
          <w:p w14:paraId="7AD87DEA" w14:textId="77777777" w:rsidR="00E15E36" w:rsidRPr="00581451" w:rsidRDefault="00E15E36" w:rsidP="00E15E36">
            <w:pPr>
              <w:rPr>
                <w:rFonts w:ascii="Arial" w:eastAsia="Arial" w:hAnsi="Arial" w:cs="Arial"/>
                <w:lang w:val="es-ES"/>
              </w:rPr>
            </w:pPr>
          </w:p>
          <w:p w14:paraId="10A197A7" w14:textId="776B296F" w:rsidR="00E15E36" w:rsidRPr="00581451" w:rsidRDefault="00E15E36" w:rsidP="006973B6">
            <w:pPr>
              <w:rPr>
                <w:rFonts w:ascii="Arial" w:eastAsia="Arial" w:hAnsi="Arial" w:cs="Arial"/>
                <w:b/>
                <w:bCs/>
                <w:kern w:val="0"/>
                <w:sz w:val="20"/>
                <w:szCs w:val="20"/>
                <w14:ligatures w14:val="none"/>
              </w:rPr>
            </w:pPr>
            <w:r w:rsidRPr="00581451">
              <w:rPr>
                <w:rFonts w:ascii="Arial" w:eastAsia="Arial" w:hAnsi="Arial" w:cs="Arial"/>
                <w:b/>
                <w:bCs/>
                <w:kern w:val="0"/>
                <w:sz w:val="20"/>
                <w:szCs w:val="20"/>
                <w14:ligatures w14:val="none"/>
              </w:rPr>
              <w:t>Construcción del denominador (</w:t>
            </w:r>
            <m:oMath>
              <m:r>
                <m:rPr>
                  <m:sty m:val="bi"/>
                </m:rPr>
                <w:rPr>
                  <w:rFonts w:ascii="Cambria Math" w:eastAsiaTheme="minorEastAsia" w:hAnsi="Cambria Math" w:cs="Arial"/>
                  <w:sz w:val="20"/>
                  <w:szCs w:val="20"/>
                </w:rPr>
                <m:t>PPA</m:t>
              </m:r>
            </m:oMath>
            <w:r w:rsidR="001B41EB" w:rsidRPr="00581451">
              <w:rPr>
                <w:rFonts w:ascii="Arial" w:eastAsia="Arial" w:hAnsi="Arial" w:cs="Arial"/>
                <w:b/>
                <w:bCs/>
                <w:kern w:val="0"/>
                <w:sz w:val="20"/>
                <w:szCs w:val="20"/>
                <w14:ligatures w14:val="none"/>
              </w:rPr>
              <w:t>):</w:t>
            </w:r>
          </w:p>
          <w:p w14:paraId="2243AE52" w14:textId="77777777" w:rsidR="00E15E36" w:rsidRPr="00581451" w:rsidRDefault="00E15E36" w:rsidP="006973B6">
            <w:pPr>
              <w:rPr>
                <w:rFonts w:ascii="Arial" w:eastAsia="Arial" w:hAnsi="Arial" w:cs="Arial"/>
                <w:b/>
                <w:bCs/>
                <w:kern w:val="0"/>
                <w:sz w:val="20"/>
                <w:szCs w:val="20"/>
                <w14:ligatures w14:val="none"/>
              </w:rPr>
            </w:pPr>
          </w:p>
          <w:p w14:paraId="198352AA" w14:textId="77777777" w:rsidR="00E15E36" w:rsidRPr="00581451" w:rsidRDefault="00E15E36" w:rsidP="00AD4B0D">
            <w:pPr>
              <w:pStyle w:val="Prrafodelista"/>
              <w:numPr>
                <w:ilvl w:val="0"/>
                <w:numId w:val="2"/>
              </w:numPr>
              <w:spacing w:line="240" w:lineRule="auto"/>
              <w:jc w:val="both"/>
              <w:rPr>
                <w:rFonts w:ascii="Arial" w:eastAsia="Arial" w:hAnsi="Arial" w:cs="Arial"/>
                <w:kern w:val="0"/>
                <w:sz w:val="20"/>
                <w:szCs w:val="20"/>
                <w14:ligatures w14:val="none"/>
              </w:rPr>
            </w:pPr>
            <w:r w:rsidRPr="00581451">
              <w:rPr>
                <w:rFonts w:ascii="Arial" w:eastAsia="Arial" w:hAnsi="Arial" w:cs="Arial"/>
                <w:kern w:val="0"/>
                <w:sz w:val="20"/>
                <w:szCs w:val="20"/>
                <w14:ligatures w14:val="none"/>
              </w:rPr>
              <w:t xml:space="preserve">En cada territorio bajo análisis se selecciona la población potencialmente activa empleando el siguiente filtro 15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rPr>
                    <m:t>21</m:t>
                  </m:r>
                </m:sub>
              </m:sSub>
              <m:r>
                <m:rPr>
                  <m:sty m:val="bi"/>
                </m:rPr>
                <w:rPr>
                  <w:rFonts w:ascii="Cambria Math" w:hAnsi="Cambria Math" w:cs="Arial"/>
                </w:rPr>
                <m:t>≤</m:t>
              </m:r>
            </m:oMath>
            <w:r w:rsidRPr="00581451">
              <w:rPr>
                <w:rFonts w:ascii="Arial" w:eastAsia="Arial" w:hAnsi="Arial" w:cs="Arial"/>
                <w:b/>
                <w:bCs/>
              </w:rPr>
              <w:t xml:space="preserve"> </w:t>
            </w:r>
            <w:r w:rsidRPr="00581451">
              <w:rPr>
                <w:rFonts w:ascii="Arial" w:eastAsia="Arial" w:hAnsi="Arial" w:cs="Arial"/>
                <w:sz w:val="20"/>
                <w:szCs w:val="20"/>
              </w:rPr>
              <w:t>65.</w:t>
            </w:r>
          </w:p>
          <w:p w14:paraId="5E06F330" w14:textId="77777777" w:rsidR="00E15E36" w:rsidRPr="00581451" w:rsidRDefault="00E15E36" w:rsidP="00AD4B0D">
            <w:pPr>
              <w:pStyle w:val="Prrafodelista"/>
              <w:numPr>
                <w:ilvl w:val="0"/>
                <w:numId w:val="2"/>
              </w:numPr>
              <w:spacing w:line="240" w:lineRule="auto"/>
              <w:jc w:val="both"/>
              <w:rPr>
                <w:rFonts w:ascii="Arial" w:eastAsia="Arial" w:hAnsi="Arial" w:cs="Arial"/>
                <w:kern w:val="0"/>
                <w:sz w:val="20"/>
                <w:szCs w:val="20"/>
                <w14:ligatures w14:val="none"/>
              </w:rPr>
            </w:pPr>
            <w:r w:rsidRPr="00581451">
              <w:rPr>
                <w:rFonts w:ascii="Arial" w:eastAsia="Arial" w:hAnsi="Arial" w:cs="Arial"/>
                <w:kern w:val="0"/>
                <w:sz w:val="20"/>
                <w:szCs w:val="20"/>
                <w14:ligatures w14:val="none"/>
              </w:rPr>
              <w:t>Se realiza el conteo del número de personas conformado en el paso anterior.</w:t>
            </w:r>
          </w:p>
          <w:p w14:paraId="4BAC5174" w14:textId="77777777" w:rsidR="00E15E36" w:rsidRPr="00581451" w:rsidRDefault="00E15E36" w:rsidP="006973B6">
            <w:pPr>
              <w:jc w:val="both"/>
              <w:rPr>
                <w:rFonts w:ascii="Arial" w:hAnsi="Arial" w:cs="Arial"/>
                <w:sz w:val="20"/>
                <w:szCs w:val="20"/>
              </w:rPr>
            </w:pPr>
          </w:p>
        </w:tc>
      </w:tr>
      <w:tr w:rsidR="00D84806" w:rsidRPr="00581451" w14:paraId="1EF4D7A6" w14:textId="77777777" w:rsidTr="00C5777E">
        <w:trPr>
          <w:trHeight w:val="737"/>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1D204D4" w14:textId="77777777" w:rsidR="00E15E36" w:rsidRPr="00581451" w:rsidRDefault="00E15E36" w:rsidP="006973B6">
            <w:pPr>
              <w:rPr>
                <w:rFonts w:ascii="Arial" w:hAnsi="Arial" w:cs="Arial"/>
                <w:b/>
                <w:bCs/>
                <w:sz w:val="20"/>
                <w:szCs w:val="20"/>
              </w:rPr>
            </w:pPr>
            <w:r w:rsidRPr="00581451">
              <w:rPr>
                <w:rFonts w:ascii="Arial" w:hAnsi="Arial" w:cs="Arial"/>
                <w:b/>
                <w:bCs/>
                <w:sz w:val="20"/>
                <w:szCs w:val="20"/>
              </w:rPr>
              <w:t>Observaciones (notas)</w:t>
            </w:r>
          </w:p>
        </w:tc>
        <w:tc>
          <w:tcPr>
            <w:tcW w:w="0" w:type="auto"/>
            <w:gridSpan w:val="5"/>
            <w:tcBorders>
              <w:top w:val="single" w:sz="4" w:space="0" w:color="auto"/>
              <w:left w:val="single" w:sz="4" w:space="0" w:color="auto"/>
              <w:bottom w:val="single" w:sz="4" w:space="0" w:color="auto"/>
              <w:right w:val="single" w:sz="4" w:space="0" w:color="auto"/>
            </w:tcBorders>
            <w:hideMark/>
          </w:tcPr>
          <w:p w14:paraId="0894CA9C" w14:textId="77777777" w:rsidR="00E15E36" w:rsidRPr="00581451" w:rsidRDefault="00E15E36" w:rsidP="00C5777E">
            <w:pPr>
              <w:jc w:val="both"/>
              <w:rPr>
                <w:rFonts w:ascii="Arial" w:hAnsi="Arial" w:cs="Arial"/>
                <w:sz w:val="20"/>
                <w:szCs w:val="20"/>
              </w:rPr>
            </w:pPr>
            <w:r w:rsidRPr="00581451">
              <w:rPr>
                <w:rFonts w:ascii="Arial" w:hAnsi="Arial" w:cs="Arial"/>
                <w:sz w:val="20"/>
                <w:szCs w:val="20"/>
              </w:rPr>
              <w:t>En estudios sobre envejecimiento poblacional suele utilizarse como el cociente entre la suma de los grupos de población de menos de 15 y de 60 y más años y la población de 15 a 59 años.</w:t>
            </w:r>
          </w:p>
          <w:p w14:paraId="4F2D7BD7" w14:textId="77777777" w:rsidR="00E15E36" w:rsidRPr="00581451" w:rsidRDefault="00E15E36" w:rsidP="00903F5F">
            <w:pPr>
              <w:rPr>
                <w:rFonts w:ascii="Arial" w:hAnsi="Arial" w:cs="Arial"/>
                <w:sz w:val="20"/>
                <w:szCs w:val="20"/>
              </w:rPr>
            </w:pPr>
          </w:p>
        </w:tc>
      </w:tr>
      <w:tr w:rsidR="00F337FB" w:rsidRPr="00581451" w14:paraId="5A019B10" w14:textId="77777777" w:rsidTr="00903F5F">
        <w:trPr>
          <w:trHeight w:val="964"/>
          <w:jc w:val="center"/>
        </w:trPr>
        <w:tc>
          <w:tcPr>
            <w:tcW w:w="0" w:type="auto"/>
            <w:tcBorders>
              <w:top w:val="single" w:sz="4" w:space="0" w:color="auto"/>
              <w:left w:val="single" w:sz="4" w:space="0" w:color="auto"/>
              <w:bottom w:val="single" w:sz="4" w:space="0" w:color="auto"/>
              <w:right w:val="single" w:sz="4" w:space="0" w:color="auto"/>
            </w:tcBorders>
            <w:vAlign w:val="center"/>
          </w:tcPr>
          <w:p w14:paraId="5DF7F7EF" w14:textId="4CE3AFCA" w:rsidR="00F337FB" w:rsidRPr="00581451" w:rsidRDefault="00F337FB" w:rsidP="006973B6">
            <w:pPr>
              <w:rPr>
                <w:rFonts w:ascii="Arial" w:hAnsi="Arial" w:cs="Arial"/>
                <w:b/>
                <w:bCs/>
                <w:sz w:val="20"/>
                <w:szCs w:val="20"/>
              </w:rPr>
            </w:pPr>
            <w:r w:rsidRPr="00581451">
              <w:rPr>
                <w:rFonts w:ascii="Arial" w:hAnsi="Arial" w:cs="Arial"/>
                <w:b/>
                <w:bCs/>
                <w:sz w:val="20"/>
                <w:szCs w:val="20"/>
              </w:rPr>
              <w:t>Fuente metodológica:</w:t>
            </w:r>
          </w:p>
        </w:tc>
        <w:tc>
          <w:tcPr>
            <w:tcW w:w="0" w:type="auto"/>
            <w:gridSpan w:val="5"/>
            <w:tcBorders>
              <w:top w:val="single" w:sz="4" w:space="0" w:color="auto"/>
              <w:left w:val="single" w:sz="4" w:space="0" w:color="auto"/>
              <w:bottom w:val="single" w:sz="4" w:space="0" w:color="auto"/>
              <w:right w:val="single" w:sz="4" w:space="0" w:color="auto"/>
            </w:tcBorders>
          </w:tcPr>
          <w:p w14:paraId="34355F1F" w14:textId="77777777" w:rsidR="009E2D5E" w:rsidRPr="00581451" w:rsidRDefault="009E2D5E" w:rsidP="009E2D5E">
            <w:pPr>
              <w:pStyle w:val="Bibliografa"/>
              <w:numPr>
                <w:ilvl w:val="0"/>
                <w:numId w:val="3"/>
              </w:numPr>
              <w:ind w:left="360"/>
              <w:jc w:val="both"/>
              <w:rPr>
                <w:rFonts w:ascii="Arial" w:hAnsi="Arial" w:cs="Arial"/>
                <w:noProof/>
                <w:sz w:val="20"/>
                <w:szCs w:val="20"/>
                <w:lang w:val="es-MX"/>
              </w:rPr>
            </w:pPr>
            <w:r w:rsidRPr="00581451">
              <w:rPr>
                <w:rFonts w:ascii="Arial" w:hAnsi="Arial" w:cs="Arial"/>
                <w:sz w:val="20"/>
                <w:szCs w:val="20"/>
              </w:rPr>
              <w:fldChar w:fldCharType="begin"/>
            </w:r>
            <w:r w:rsidRPr="00581451">
              <w:rPr>
                <w:rFonts w:ascii="Arial" w:hAnsi="Arial" w:cs="Arial"/>
                <w:sz w:val="20"/>
                <w:szCs w:val="20"/>
                <w:lang w:val="es-MX"/>
              </w:rPr>
              <w:instrText xml:space="preserve"> BIBLIOGRAPHY  \l 2058 </w:instrText>
            </w:r>
            <w:r w:rsidRPr="00581451">
              <w:rPr>
                <w:rFonts w:ascii="Arial" w:hAnsi="Arial" w:cs="Arial"/>
                <w:sz w:val="20"/>
                <w:szCs w:val="20"/>
              </w:rPr>
              <w:fldChar w:fldCharType="separate"/>
            </w:r>
            <w:r w:rsidRPr="00581451">
              <w:rPr>
                <w:rFonts w:ascii="Arial" w:hAnsi="Arial" w:cs="Arial"/>
                <w:noProof/>
                <w:sz w:val="20"/>
                <w:szCs w:val="20"/>
                <w:lang w:val="es-MX"/>
              </w:rPr>
              <w:t xml:space="preserve">Departamento Administrativo Nacional de Estadística. (s.f.). </w:t>
            </w:r>
            <w:r w:rsidRPr="00581451">
              <w:rPr>
                <w:rFonts w:ascii="Arial" w:hAnsi="Arial" w:cs="Arial"/>
                <w:i/>
                <w:iCs/>
                <w:noProof/>
                <w:sz w:val="20"/>
                <w:szCs w:val="20"/>
                <w:lang w:val="es-MX"/>
              </w:rPr>
              <w:t>Atlas Estadístico: Tomo I Demográfico</w:t>
            </w:r>
            <w:r w:rsidRPr="00581451">
              <w:rPr>
                <w:rFonts w:ascii="Arial" w:hAnsi="Arial" w:cs="Arial"/>
                <w:noProof/>
                <w:sz w:val="20"/>
                <w:szCs w:val="20"/>
                <w:lang w:val="es-MX"/>
              </w:rPr>
              <w:t>. Obtenido de Indicadores de Estructura: Relación de Dependencia Demográfica, según municipio: https://geoportal.dane.gov.co/servicios/atlas-estadistico/src/Tomo_I_Demografico/3.3.3.-relaci%c3%b3n-de-dependencia-demogr%c3%a1fica%2c-seg%c3%ban-municipio.html</w:t>
            </w:r>
          </w:p>
          <w:p w14:paraId="0CEF7900" w14:textId="7E8EE95F" w:rsidR="00F337FB" w:rsidRDefault="009E2D5E" w:rsidP="009E2D5E">
            <w:pPr>
              <w:jc w:val="both"/>
              <w:rPr>
                <w:rFonts w:ascii="Arial" w:hAnsi="Arial" w:cs="Arial"/>
                <w:sz w:val="20"/>
                <w:szCs w:val="20"/>
              </w:rPr>
            </w:pPr>
            <w:r w:rsidRPr="00581451">
              <w:rPr>
                <w:rFonts w:ascii="Arial" w:hAnsi="Arial" w:cs="Arial"/>
                <w:sz w:val="20"/>
                <w:szCs w:val="20"/>
              </w:rPr>
              <w:fldChar w:fldCharType="end"/>
            </w:r>
          </w:p>
        </w:tc>
      </w:tr>
    </w:tbl>
    <w:p w14:paraId="07711B1C" w14:textId="77777777" w:rsidR="00E15E36" w:rsidRPr="00E15E36" w:rsidRDefault="00E15E36" w:rsidP="00E15E36">
      <w:pPr>
        <w:jc w:val="center"/>
        <w:rPr>
          <w:lang w:val="es-CO"/>
        </w:rPr>
      </w:pPr>
    </w:p>
    <w:sectPr w:rsidR="00E15E36" w:rsidRPr="00E15E36" w:rsidSect="00000A70">
      <w:headerReference w:type="default" r:id="rId8"/>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C6D5A1" w14:textId="77777777" w:rsidR="00982E27" w:rsidRDefault="00982E27" w:rsidP="00B30E3A">
      <w:pPr>
        <w:spacing w:after="0" w:line="240" w:lineRule="auto"/>
      </w:pPr>
      <w:r>
        <w:separator/>
      </w:r>
    </w:p>
  </w:endnote>
  <w:endnote w:type="continuationSeparator" w:id="0">
    <w:p w14:paraId="4E915752" w14:textId="77777777" w:rsidR="00982E27" w:rsidRDefault="00982E27"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F8963" w14:textId="77777777" w:rsidR="00982E27" w:rsidRDefault="00982E27" w:rsidP="00B30E3A">
      <w:pPr>
        <w:spacing w:after="0" w:line="240" w:lineRule="auto"/>
      </w:pPr>
      <w:r>
        <w:separator/>
      </w:r>
    </w:p>
  </w:footnote>
  <w:footnote w:type="continuationSeparator" w:id="0">
    <w:p w14:paraId="60F57D6E" w14:textId="77777777" w:rsidR="00982E27" w:rsidRDefault="00982E27"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88C2E33"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27384"/>
    <w:multiLevelType w:val="hybridMultilevel"/>
    <w:tmpl w:val="DA3009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8B81EEF"/>
    <w:multiLevelType w:val="hybridMultilevel"/>
    <w:tmpl w:val="42DA03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AD96529"/>
    <w:multiLevelType w:val="hybridMultilevel"/>
    <w:tmpl w:val="766A425A"/>
    <w:lvl w:ilvl="0" w:tplc="0332CCC4">
      <w:start w:val="1"/>
      <w:numFmt w:val="decimal"/>
      <w:lvlText w:val="%1."/>
      <w:lvlJc w:val="lef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88996881">
    <w:abstractNumId w:val="2"/>
  </w:num>
  <w:num w:numId="2" w16cid:durableId="1886915198">
    <w:abstractNumId w:val="1"/>
  </w:num>
  <w:num w:numId="3" w16cid:durableId="93201269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85B04"/>
    <w:rsid w:val="000F10B6"/>
    <w:rsid w:val="001B41EB"/>
    <w:rsid w:val="001F024A"/>
    <w:rsid w:val="00203166"/>
    <w:rsid w:val="00311345"/>
    <w:rsid w:val="00383CDD"/>
    <w:rsid w:val="003E0441"/>
    <w:rsid w:val="003F602E"/>
    <w:rsid w:val="00471608"/>
    <w:rsid w:val="00516837"/>
    <w:rsid w:val="00544FC4"/>
    <w:rsid w:val="00581451"/>
    <w:rsid w:val="005D2482"/>
    <w:rsid w:val="00622E09"/>
    <w:rsid w:val="00646B0F"/>
    <w:rsid w:val="006E13F2"/>
    <w:rsid w:val="00824B81"/>
    <w:rsid w:val="00866684"/>
    <w:rsid w:val="008F564C"/>
    <w:rsid w:val="00903F5F"/>
    <w:rsid w:val="00964BB1"/>
    <w:rsid w:val="00982E27"/>
    <w:rsid w:val="009954D9"/>
    <w:rsid w:val="009E2D5E"/>
    <w:rsid w:val="00A633B6"/>
    <w:rsid w:val="00AD4B0D"/>
    <w:rsid w:val="00B30E3A"/>
    <w:rsid w:val="00B870B1"/>
    <w:rsid w:val="00BE6B67"/>
    <w:rsid w:val="00C5777E"/>
    <w:rsid w:val="00C6338C"/>
    <w:rsid w:val="00C83785"/>
    <w:rsid w:val="00CA2D1A"/>
    <w:rsid w:val="00D079D5"/>
    <w:rsid w:val="00D168B5"/>
    <w:rsid w:val="00D84806"/>
    <w:rsid w:val="00D87C33"/>
    <w:rsid w:val="00DC476B"/>
    <w:rsid w:val="00E15E36"/>
    <w:rsid w:val="00F337FB"/>
    <w:rsid w:val="00F90774"/>
    <w:rsid w:val="00FA005C"/>
    <w:rsid w:val="00FA6D31"/>
    <w:rsid w:val="00FD1B3A"/>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paragraph" w:styleId="Bibliografa">
    <w:name w:val="Bibliography"/>
    <w:basedOn w:val="Normal"/>
    <w:next w:val="Normal"/>
    <w:uiPriority w:val="37"/>
    <w:unhideWhenUsed/>
    <w:rsid w:val="009E2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3162">
      <w:bodyDiv w:val="1"/>
      <w:marLeft w:val="0"/>
      <w:marRight w:val="0"/>
      <w:marTop w:val="0"/>
      <w:marBottom w:val="0"/>
      <w:divBdr>
        <w:top w:val="none" w:sz="0" w:space="0" w:color="auto"/>
        <w:left w:val="none" w:sz="0" w:space="0" w:color="auto"/>
        <w:bottom w:val="none" w:sz="0" w:space="0" w:color="auto"/>
        <w:right w:val="none" w:sz="0" w:space="0" w:color="auto"/>
      </w:divBdr>
    </w:div>
    <w:div w:id="96523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b:Tag>
    <b:SourceType>InternetSite</b:SourceType>
    <b:Guid>{5B7CEA97-D44A-42D2-B590-36C7D89A44EC}</b:Guid>
    <b:Author>
      <b:Author>
        <b:Corporate>Departamento Administrativo Nacional de Estadística</b:Corporate>
      </b:Author>
    </b:Author>
    <b:Title>Atlas Estadístico: Tomo I Demográfico</b:Title>
    <b:InternetSiteTitle>Indicadores de Estructura: Relación de Dependencia Demográfica, según municipio</b:InternetSiteTitle>
    <b:URL>https://geoportal.dane.gov.co/servicios/atlas-estadistico/src/Tomo_I_Demografico/3.3.3.-relaci%c3%b3n-de-dependencia-demogr%c3%a1fica%2c-seg%c3%ban-municipio.html</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8BE102ED-61B5-4579-B712-C1BE7B0C0D44}">
  <ds:schemaRefs>
    <ds:schemaRef ds:uri="http://schemas.openxmlformats.org/officeDocument/2006/bibliography"/>
  </ds:schemaRefs>
</ds:datastoreItem>
</file>

<file path=customXml/itemProps2.xml><?xml version="1.0" encoding="utf-8"?>
<ds:datastoreItem xmlns:ds="http://schemas.openxmlformats.org/officeDocument/2006/customXml" ds:itemID="{6F0556D8-E65C-4FF3-922A-16D5391F4FD5}"/>
</file>

<file path=customXml/itemProps3.xml><?xml version="1.0" encoding="utf-8"?>
<ds:datastoreItem xmlns:ds="http://schemas.openxmlformats.org/officeDocument/2006/customXml" ds:itemID="{558A0740-31AC-4CC3-A5B9-755E1BE24AD9}"/>
</file>

<file path=customXml/itemProps4.xml><?xml version="1.0" encoding="utf-8"?>
<ds:datastoreItem xmlns:ds="http://schemas.openxmlformats.org/officeDocument/2006/customXml" ds:itemID="{65211837-92F0-4900-8921-B1C1B6C33D62}"/>
</file>

<file path=docProps/app.xml><?xml version="1.0" encoding="utf-8"?>
<Properties xmlns="http://schemas.openxmlformats.org/officeDocument/2006/extended-properties" xmlns:vt="http://schemas.openxmlformats.org/officeDocument/2006/docPropsVTypes">
  <Template>Normal</Template>
  <TotalTime>141</TotalTime>
  <Pages>2</Pages>
  <Words>460</Words>
  <Characters>2532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25</cp:revision>
  <dcterms:created xsi:type="dcterms:W3CDTF">2023-10-21T01:23:00Z</dcterms:created>
  <dcterms:modified xsi:type="dcterms:W3CDTF">2024-05-23T19:06:00Z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