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8A4B3" w14:textId="77777777" w:rsidR="00BA395D" w:rsidRPr="00D3030D" w:rsidRDefault="00BA395D" w:rsidP="00BA395D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D3030D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EMPLEO, SEGURIDAD Y ACCIDENTALIDAD</w:t>
      </w:r>
    </w:p>
    <w:p w14:paraId="49C3620F" w14:textId="77777777" w:rsidR="00BA395D" w:rsidRPr="00D3030D" w:rsidRDefault="00BA395D" w:rsidP="00BA395D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D3030D">
        <w:rPr>
          <w:rFonts w:ascii="Arial" w:hAnsi="Arial" w:cs="Arial"/>
          <w:b/>
          <w:bCs/>
          <w:sz w:val="24"/>
          <w:szCs w:val="24"/>
          <w:shd w:val="clear" w:color="auto" w:fill="FAFAFA"/>
        </w:rPr>
        <w:t>Curva de Lorenz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50"/>
        <w:gridCol w:w="1228"/>
        <w:gridCol w:w="1183"/>
        <w:gridCol w:w="614"/>
        <w:gridCol w:w="1713"/>
        <w:gridCol w:w="2206"/>
      </w:tblGrid>
      <w:tr w:rsidR="00BA395D" w:rsidRPr="00D3030D" w14:paraId="75B1EFF8" w14:textId="77777777" w:rsidTr="00BA395D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71114F" w14:textId="77777777" w:rsidR="00BA395D" w:rsidRPr="00D3030D" w:rsidRDefault="00BA395D" w:rsidP="00BA39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>Curva de Lorenz</w:t>
            </w:r>
          </w:p>
        </w:tc>
      </w:tr>
      <w:tr w:rsidR="00BA395D" w:rsidRPr="00D3030D" w14:paraId="4216BAF0" w14:textId="77777777" w:rsidTr="00BA395D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E911" w14:textId="77777777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D0147" w14:textId="77777777" w:rsidR="00BA395D" w:rsidRPr="00D3030D" w:rsidRDefault="00BA395D" w:rsidP="005204F9">
            <w:pPr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>Desigualdad</w:t>
            </w:r>
          </w:p>
        </w:tc>
      </w:tr>
      <w:tr w:rsidR="00BA395D" w:rsidRPr="00D3030D" w14:paraId="574E035D" w14:textId="77777777" w:rsidTr="00BA395D">
        <w:trPr>
          <w:trHeight w:val="74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613A" w14:textId="77777777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E0C0" w14:textId="2CC032C5" w:rsidR="00BA395D" w:rsidRPr="00D3030D" w:rsidRDefault="00B01EDC" w:rsidP="001726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 xml:space="preserve">La curva de Lorenz es una representación gráfica que ilustra la distribución de ingresos en una población. En el eje vertical se muestra el porcentaje acumulado del ingreso total, y en el eje horizontal se indica el porcentaje acumulado de la población. </w:t>
            </w:r>
            <w:r w:rsidR="00726B66" w:rsidRPr="00D3030D">
              <w:rPr>
                <w:rFonts w:ascii="Arial" w:hAnsi="Arial" w:cs="Arial"/>
                <w:sz w:val="20"/>
                <w:szCs w:val="20"/>
              </w:rPr>
              <w:t>La curva inicia en el origen (0,0) y concluye en (100,100). En una distribución perfectamente equitativa, la curva seguiría una línea de 45 grados, pero en casos de desigualdad extrema, se desplazaría hacia el eje horizontal.</w:t>
            </w:r>
            <w:r w:rsidR="00A80739" w:rsidRPr="00D303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18B0" w:rsidRPr="00D3030D">
              <w:rPr>
                <w:rFonts w:ascii="Arial" w:hAnsi="Arial" w:cs="Arial"/>
                <w:sz w:val="20"/>
                <w:szCs w:val="20"/>
              </w:rPr>
              <w:t>Esta representación gráfica es una m</w:t>
            </w:r>
            <w:r w:rsidR="00BA395D" w:rsidRPr="00D3030D">
              <w:rPr>
                <w:rFonts w:ascii="Arial" w:hAnsi="Arial" w:cs="Arial"/>
                <w:sz w:val="20"/>
                <w:szCs w:val="20"/>
              </w:rPr>
              <w:t>edida de desigualdad en el reparto de la renta existente en un determinado territorio, el cual puede ser calculado a cualquier nivel territorial de interés siempre y cuando el diseño de muestreo lo permita.</w:t>
            </w:r>
          </w:p>
          <w:p w14:paraId="20EF2A39" w14:textId="77777777" w:rsidR="00172655" w:rsidRPr="00D3030D" w:rsidRDefault="00172655" w:rsidP="001726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B4EF53" w14:textId="40E25D26" w:rsidR="00172655" w:rsidRPr="00D3030D" w:rsidRDefault="00172655" w:rsidP="001726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4243F9" w:rsidRPr="00D3030D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BA395D" w:rsidRPr="00D3030D" w14:paraId="0DA56CF6" w14:textId="77777777" w:rsidTr="00BA395D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FA2C" w14:textId="77777777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FB2" w14:textId="77777777" w:rsidR="00BA395D" w:rsidRPr="00D3030D" w:rsidRDefault="00BA395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Ordenar de forma ascendente los ingresos de las i personas del estudio.</w:t>
            </w:r>
          </w:p>
          <w:p w14:paraId="76C11736" w14:textId="77777777" w:rsidR="00BA395D" w:rsidRPr="00D3030D" w:rsidRDefault="00BA395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68A473DE" w14:textId="77777777" w:rsidR="00BA395D" w:rsidRPr="00D3030D" w:rsidRDefault="00D3030D" w:rsidP="005204F9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7FDF23B" w14:textId="77777777" w:rsidR="00BA395D" w:rsidRPr="00D3030D" w:rsidRDefault="00BA395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Con</w:t>
            </w:r>
          </w:p>
          <w:p w14:paraId="34426819" w14:textId="77777777" w:rsidR="00BA395D" w:rsidRPr="00D3030D" w:rsidRDefault="00D3030D" w:rsidP="005204F9">
            <w:pPr>
              <w:jc w:val="center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="00BA395D" w:rsidRPr="00D3030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</w:p>
          <w:p w14:paraId="72A0566E" w14:textId="77777777" w:rsidR="00BA395D" w:rsidRPr="00D3030D" w:rsidRDefault="00BA395D" w:rsidP="005204F9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C20A184" w14:textId="77777777" w:rsidR="00BA395D" w:rsidRPr="00D3030D" w:rsidRDefault="00BA395D" w:rsidP="005204F9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De forma similar</w:t>
            </w:r>
          </w:p>
          <w:p w14:paraId="5AE0F9A0" w14:textId="77777777" w:rsidR="00BA395D" w:rsidRPr="00D3030D" w:rsidRDefault="00D3030D" w:rsidP="005204F9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3D56391" w14:textId="77777777" w:rsidR="00BA395D" w:rsidRPr="00D3030D" w:rsidRDefault="00BA395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Con</w:t>
            </w:r>
          </w:p>
          <w:p w14:paraId="2C596F7E" w14:textId="77777777" w:rsidR="00BA395D" w:rsidRPr="00D3030D" w:rsidRDefault="00D3030D" w:rsidP="005204F9">
            <w:pPr>
              <w:jc w:val="center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="00BA395D" w:rsidRPr="00D3030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U=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</w:p>
          <w:p w14:paraId="7E1708FD" w14:textId="77777777" w:rsidR="00BA395D" w:rsidRPr="00D3030D" w:rsidRDefault="00BA395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54C0D868" w14:textId="77777777" w:rsidR="00BA395D" w:rsidRPr="00D3030D" w:rsidRDefault="00BA395D" w:rsidP="005204F9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53AE96C" w14:textId="77777777" w:rsidR="00BA395D" w:rsidRPr="00D3030D" w:rsidRDefault="00D3030D" w:rsidP="005204F9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 w:rsidR="00BA395D" w:rsidRPr="00D3030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Porcentaje acumulado de población de personas u hogares.</w:t>
            </w:r>
          </w:p>
          <w:p w14:paraId="40198D54" w14:textId="77777777" w:rsidR="00BA395D" w:rsidRPr="00D3030D" w:rsidRDefault="00D3030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 w:rsidR="00BA395D" w:rsidRPr="00D3030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Porcentaje acumulado de ingresos laborales por persona ocupada o ingresos del hogar, según sea el caso.</w:t>
            </w:r>
          </w:p>
          <w:p w14:paraId="2F4FB917" w14:textId="77777777" w:rsidR="00BA395D" w:rsidRPr="00D3030D" w:rsidRDefault="00D3030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oMath>
            <w:r w:rsidR="00BA395D" w:rsidRPr="00D3030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Es el ingreso por salarios en la j-</w:t>
            </w:r>
            <w:proofErr w:type="spellStart"/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clase.</w:t>
            </w:r>
          </w:p>
          <w:p w14:paraId="207C7E93" w14:textId="77777777" w:rsidR="00BA395D" w:rsidRPr="00D3030D" w:rsidRDefault="00D3030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oMath>
            <w:r w:rsidR="00BA395D" w:rsidRPr="00D3030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personas ocupadas que se encuentran en la j-</w:t>
            </w:r>
            <w:proofErr w:type="spellStart"/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BA395D" w:rsidRPr="00D3030D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de ingresos por salarios.</w:t>
            </w:r>
          </w:p>
          <w:p w14:paraId="6310915C" w14:textId="77777777" w:rsidR="00BA395D" w:rsidRPr="00D3030D" w:rsidRDefault="00BA395D" w:rsidP="005204F9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</w:tc>
      </w:tr>
      <w:tr w:rsidR="00BA395D" w:rsidRPr="00D3030D" w14:paraId="01C4F93C" w14:textId="77777777" w:rsidTr="004209A6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1DA7B" w14:textId="1023873F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A050A0" w:rsidRPr="00D3030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749A" w14:textId="77777777" w:rsidR="00BA395D" w:rsidRPr="00D3030D" w:rsidRDefault="00BA395D" w:rsidP="005204F9">
            <w:pPr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> Porcentaje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2291" w14:textId="77777777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800B9" w14:textId="77777777" w:rsidR="00BA395D" w:rsidRPr="00D3030D" w:rsidRDefault="00BA395D" w:rsidP="005204F9">
            <w:pPr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>0-100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9059" w14:textId="77777777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3C4F" w14:textId="77777777" w:rsidR="00BA395D" w:rsidRPr="00D3030D" w:rsidRDefault="00BA395D" w:rsidP="00A050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>A mayor cercanía de la curva a la curva teórica, condición más favorable</w:t>
            </w:r>
            <w:r w:rsidR="00892843" w:rsidRPr="00D3030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AB0F43" w14:textId="77777777" w:rsidR="00892843" w:rsidRPr="00D3030D" w:rsidRDefault="00892843" w:rsidP="00A050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B6B6FC" w14:textId="31404A01" w:rsidR="00892843" w:rsidRPr="00D3030D" w:rsidRDefault="002853FB" w:rsidP="008934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>Para profundizar en la interpretación consultar</w:t>
            </w:r>
            <w:r w:rsidR="00B54FE1" w:rsidRPr="00D3030D">
              <w:rPr>
                <w:rFonts w:ascii="Arial" w:hAnsi="Arial" w:cs="Arial"/>
                <w:sz w:val="20"/>
                <w:szCs w:val="20"/>
              </w:rPr>
              <w:t xml:space="preserve"> el siguiente documento (pág. 15</w:t>
            </w:r>
            <w:r w:rsidR="009E4C68" w:rsidRPr="00D3030D">
              <w:rPr>
                <w:rFonts w:ascii="Arial" w:hAnsi="Arial" w:cs="Arial"/>
                <w:sz w:val="20"/>
                <w:szCs w:val="20"/>
              </w:rPr>
              <w:t>):</w:t>
            </w:r>
            <w:r w:rsidR="008934F7" w:rsidRPr="00D303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E09A34" w14:textId="77777777" w:rsidR="00D10057" w:rsidRPr="00D3030D" w:rsidRDefault="00D10057" w:rsidP="001F5773">
            <w:pPr>
              <w:pStyle w:val="Bibliograf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3030D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Pr="00D3030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Medina, Fernando; NU. CEPAL. División </w:t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lastRenderedPageBreak/>
              <w:t xml:space="preserve">de Estadística y Proyecciones Económicas;. (2001). </w:t>
            </w:r>
            <w:r w:rsidRPr="00D3030D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Consideraciones sobre el índice de Gini para medir la concentración del ingreso.</w:t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Chile: CEPAL, NU.</w:t>
            </w:r>
          </w:p>
          <w:p w14:paraId="1EA93ECF" w14:textId="77777777" w:rsidR="007D68F2" w:rsidRPr="00D3030D" w:rsidRDefault="007D68F2" w:rsidP="007D68F2">
            <w:pPr>
              <w:rPr>
                <w:lang w:val="es-MX"/>
              </w:rPr>
            </w:pPr>
          </w:p>
          <w:p w14:paraId="6A2A38C2" w14:textId="77A89DCE" w:rsidR="007D68F2" w:rsidRPr="00D3030D" w:rsidRDefault="007D68F2" w:rsidP="001F577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030D">
              <w:rPr>
                <w:rFonts w:ascii="Arial" w:hAnsi="Arial" w:cs="Arial"/>
                <w:sz w:val="20"/>
                <w:szCs w:val="20"/>
                <w:lang w:val="es-MX"/>
              </w:rPr>
              <w:t xml:space="preserve">Accede </w:t>
            </w:r>
            <w:r w:rsidR="00323E0D" w:rsidRPr="00D3030D">
              <w:rPr>
                <w:rFonts w:ascii="Arial" w:hAnsi="Arial" w:cs="Arial"/>
                <w:sz w:val="20"/>
                <w:szCs w:val="20"/>
                <w:lang w:val="es-MX"/>
              </w:rPr>
              <w:t xml:space="preserve">dando clic </w:t>
            </w:r>
            <w:hyperlink r:id="rId8" w:history="1">
              <w:r w:rsidR="00323E0D" w:rsidRPr="00D3030D">
                <w:rPr>
                  <w:rStyle w:val="Hipervnculo"/>
                  <w:rFonts w:ascii="Arial" w:hAnsi="Arial" w:cs="Arial"/>
                  <w:kern w:val="0"/>
                  <w:sz w:val="20"/>
                  <w:szCs w:val="20"/>
                  <w:lang w:val="es-MX"/>
                  <w14:ligatures w14:val="none"/>
                </w:rPr>
                <w:t>aquí</w:t>
              </w:r>
            </w:hyperlink>
            <w:r w:rsidR="009E4C68" w:rsidRPr="00D3030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14:paraId="4F60B4D5" w14:textId="77777777" w:rsidR="007D68F2" w:rsidRPr="00D3030D" w:rsidRDefault="007D68F2" w:rsidP="007D68F2">
            <w:pPr>
              <w:rPr>
                <w:lang w:val="es-MX"/>
              </w:rPr>
            </w:pPr>
          </w:p>
          <w:p w14:paraId="0D0E89B1" w14:textId="4488C350" w:rsidR="00D10057" w:rsidRPr="00D3030D" w:rsidRDefault="00D10057" w:rsidP="00F018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209A6" w:rsidRPr="00D3030D" w14:paraId="446EAA99" w14:textId="77777777" w:rsidTr="005D0FC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F5E0" w14:textId="6D2E7B3A" w:rsidR="004209A6" w:rsidRPr="00D3030D" w:rsidRDefault="004209A6" w:rsidP="004209A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6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5F10" w14:textId="2B3A497F" w:rsidR="004209A6" w:rsidRPr="00D3030D" w:rsidRDefault="004209A6" w:rsidP="004209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BA395D" w:rsidRPr="00D3030D" w14:paraId="00BA24F2" w14:textId="77777777" w:rsidTr="00BA395D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3388" w14:textId="77777777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E637" w14:textId="77777777" w:rsidR="00BA395D" w:rsidRPr="00D3030D" w:rsidRDefault="00BA395D" w:rsidP="005204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07957D" w14:textId="77777777" w:rsidR="00BA395D" w:rsidRPr="00D3030D" w:rsidRDefault="00BA395D" w:rsidP="005204F9">
            <w:pPr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1FE9727" w14:textId="77777777" w:rsidR="00BA395D" w:rsidRPr="00D3030D" w:rsidRDefault="00BA395D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F99C98" w14:textId="77777777" w:rsidR="00BA395D" w:rsidRPr="00D3030D" w:rsidRDefault="00D3030D" w:rsidP="005204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121</m:t>
                  </m:r>
                </m:sub>
              </m:sSub>
            </m:oMath>
            <w:r w:rsidR="00BA395D" w:rsidRPr="00D3030D">
              <w:rPr>
                <w:rFonts w:ascii="Arial" w:hAnsi="Arial" w:cs="Arial"/>
                <w:sz w:val="20"/>
                <w:szCs w:val="20"/>
              </w:rPr>
              <w:t>: ¿Cuánto ganó el mes pasado en este empleo? o ¿Cuánto recibió el mes pasado por concepto de trabajo?</w:t>
            </w:r>
          </w:p>
          <w:p w14:paraId="38F93C80" w14:textId="309ABCD6" w:rsidR="00BA395D" w:rsidRPr="00D3030D" w:rsidRDefault="00D3030D" w:rsidP="005204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122</m:t>
                  </m:r>
                </m:sub>
              </m:sSub>
            </m:oMath>
            <w:r w:rsidR="00BA395D" w:rsidRPr="00D3030D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alimentos como parte de pago?</w:t>
            </w:r>
          </w:p>
          <w:p w14:paraId="4C92C6B4" w14:textId="77777777" w:rsidR="00BA395D" w:rsidRPr="00D3030D" w:rsidRDefault="00BA395D" w:rsidP="005204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123</m:t>
                  </m:r>
                </m:sub>
              </m:sSub>
            </m:oMath>
            <w:r w:rsidRPr="00D3030D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vivienda como parte de pago?</w:t>
            </w:r>
          </w:p>
          <w:p w14:paraId="35DDB6D1" w14:textId="77777777" w:rsidR="00BA395D" w:rsidRPr="00D3030D" w:rsidRDefault="00D3030D" w:rsidP="005204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124</m:t>
                  </m:r>
                </m:sub>
              </m:sSub>
            </m:oMath>
            <w:r w:rsidR="00BA395D" w:rsidRPr="00D3030D">
              <w:rPr>
                <w:rFonts w:ascii="Arial" w:hAnsi="Arial" w:cs="Arial"/>
                <w:sz w:val="20"/>
                <w:szCs w:val="20"/>
              </w:rPr>
              <w:t>: ¿Cuánto fue la ganancia neta en esta actividad, negocio o profesión el mes pasado?</w:t>
            </w:r>
          </w:p>
          <w:p w14:paraId="15BB3816" w14:textId="77777777" w:rsidR="00BA395D" w:rsidRPr="00D3030D" w:rsidRDefault="00D3030D" w:rsidP="005204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125</m:t>
                  </m:r>
                </m:sub>
              </m:sSub>
            </m:oMath>
            <w:r w:rsidR="00BA395D" w:rsidRPr="00D3030D">
              <w:rPr>
                <w:rFonts w:ascii="Arial" w:hAnsi="Arial" w:cs="Arial"/>
                <w:sz w:val="20"/>
                <w:szCs w:val="20"/>
              </w:rPr>
              <w:t>:</w:t>
            </w:r>
            <w:r w:rsidR="00BA395D" w:rsidRPr="00D3030D">
              <w:rPr>
                <w:sz w:val="20"/>
                <w:szCs w:val="20"/>
              </w:rPr>
              <w:t xml:space="preserve"> </w:t>
            </w:r>
            <w:r w:rsidR="00BA395D" w:rsidRPr="00D3030D">
              <w:rPr>
                <w:rFonts w:ascii="Arial" w:hAnsi="Arial" w:cs="Arial"/>
                <w:color w:val="000000"/>
                <w:spacing w:val="7"/>
                <w:sz w:val="20"/>
                <w:szCs w:val="20"/>
                <w:lang w:val="es-ES"/>
              </w:rPr>
              <w:t>¿Cuánto recibió el mes pasado por concepto de arriendos?</w:t>
            </w:r>
          </w:p>
          <w:p w14:paraId="4A635465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126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el mes pasado por concepto de pensiones o jubilaciones?</w:t>
            </w:r>
          </w:p>
          <w:p w14:paraId="5FA98D91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127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en promedio mensual durante los últimos 12 meses por concepto de ayudas en dinero, auxilios o subsidio de transporte, subsidio familiar o subsidio educativo?</w:t>
            </w:r>
          </w:p>
          <w:p w14:paraId="06A8DC94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128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giros de personas en el exterior?</w:t>
            </w:r>
          </w:p>
          <w:p w14:paraId="1722D8A2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129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intereses o dividendos?</w:t>
            </w:r>
          </w:p>
          <w:p w14:paraId="2EDD818A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Pago o arriendo</w:t>
            </w:r>
          </w:p>
          <w:p w14:paraId="02BF57F0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PAGOS: Cuota </w:t>
            </w:r>
          </w:p>
          <w:p w14:paraId="019D4CA3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¿Cuánto considera que sería el arriendo mensual de esta vivienda? - Renta de Goce</w:t>
            </w:r>
          </w:p>
          <w:p w14:paraId="0A91B069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¿A cuánto asciende el TOTAL de gastos mensuales de este hogar?</w:t>
            </w:r>
          </w:p>
          <w:p w14:paraId="1229502F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PENSIONES ESCOLARES?</w:t>
            </w:r>
            <w:proofErr w:type="gramEnd"/>
          </w:p>
          <w:p w14:paraId="55F5C996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ESCOLAR?</w:t>
            </w:r>
            <w:proofErr w:type="gramEnd"/>
          </w:p>
          <w:p w14:paraId="51435976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ALIMENTOS?</w:t>
            </w:r>
            <w:proofErr w:type="gramEnd"/>
          </w:p>
          <w:p w14:paraId="1FCBEB58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BEBIDA Y TABACO?</w:t>
            </w:r>
            <w:proofErr w:type="gramEnd"/>
          </w:p>
          <w:p w14:paraId="6D1062E3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COMBUSTI BLE?</w:t>
            </w:r>
          </w:p>
          <w:p w14:paraId="28AE8917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MEDICOS?</w:t>
            </w:r>
            <w:proofErr w:type="gramEnd"/>
          </w:p>
          <w:p w14:paraId="4ACDFD1D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MEDICAMENTOS?</w:t>
            </w:r>
            <w:proofErr w:type="gramEnd"/>
          </w:p>
          <w:p w14:paraId="5B741F7E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PÚBLICOS?</w:t>
            </w:r>
            <w:proofErr w:type="gramEnd"/>
          </w:p>
          <w:p w14:paraId="10E91C70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Y COMUNICACIONES?</w:t>
            </w:r>
            <w:proofErr w:type="gramEnd"/>
          </w:p>
          <w:p w14:paraId="59F4AB3C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¿ESPARCIMIENTO Y DIVERSIONES?</w:t>
            </w:r>
          </w:p>
          <w:p w14:paraId="1A59FFA1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 INTERESES Y OTROS GASTOS FINANCIEROS?</w:t>
            </w:r>
          </w:p>
          <w:p w14:paraId="09B08D5F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MATRÍCULAS ESCOLARES? </w:t>
            </w:r>
          </w:p>
          <w:p w14:paraId="552C2CBC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UNIFORMES ESCOLARES?</w:t>
            </w:r>
          </w:p>
          <w:p w14:paraId="1ABCFD1E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ÚTILES ESCOLARES, </w:t>
            </w:r>
            <w:proofErr w:type="gramStart"/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COMPRA, ALQUI LER DE TEXTOS?</w:t>
            </w:r>
            <w:proofErr w:type="gramEnd"/>
          </w:p>
          <w:p w14:paraId="5F47330D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PRENDAS DE VESTIR Y CALZADO?</w:t>
            </w:r>
          </w:p>
          <w:p w14:paraId="497E5AAE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MUEBLES Y ENSERES?</w:t>
            </w:r>
          </w:p>
          <w:p w14:paraId="0F69A0B4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VACACIONES FAMILIARES?</w:t>
            </w:r>
          </w:p>
          <w:p w14:paraId="6246C48C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PREDIAL POR ESTA VIVI ENDA?</w:t>
            </w:r>
          </w:p>
          <w:p w14:paraId="4FEF20AD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VEHÍCULAR?</w:t>
            </w:r>
          </w:p>
          <w:p w14:paraId="23C56351" w14:textId="77777777" w:rsidR="00BA395D" w:rsidRPr="00D3030D" w:rsidRDefault="00D3030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</m:oMath>
            <w:r w:rsidR="00BA395D"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BA395D"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OTROS GASTOS?</w:t>
            </w:r>
          </w:p>
          <w:p w14:paraId="667FE56D" w14:textId="77777777" w:rsidR="00BA395D" w:rsidRPr="00D3030D" w:rsidRDefault="00BA395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3917FFB" w14:textId="77777777" w:rsidR="00BA395D" w:rsidRPr="00D3030D" w:rsidRDefault="00BA395D" w:rsidP="005204F9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Bajo este escenario, las preguntas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dividirán entre 12 para mensualizar el ingreso del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). </w:t>
            </w: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El valor obtenido de la suma de las variables previamente listadas (mensualizadas).</w:t>
            </w:r>
          </w:p>
          <w:p w14:paraId="0FE7A3EB" w14:textId="77777777" w:rsidR="00BA395D" w:rsidRPr="00D3030D" w:rsidRDefault="00BA395D" w:rsidP="005204F9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48818C8" w14:textId="77777777" w:rsidR="00BA395D" w:rsidRPr="00D3030D" w:rsidRDefault="00BA395D" w:rsidP="005204F9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Curva de Lorenz para ingresos del hogar</w:t>
            </w:r>
          </w:p>
          <w:p w14:paraId="342B8327" w14:textId="77777777" w:rsidR="00BA395D" w:rsidRPr="00D3030D" w:rsidRDefault="00BA395D" w:rsidP="005204F9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453487D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calcula un proxy del ingreso total de los hogares sumando los gastos reportados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A10844F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resultado obtenido con lo reportado en la pregunta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escoge el mayor valor entre estas cantidades.</w:t>
            </w:r>
          </w:p>
          <w:p w14:paraId="36B07436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obtiene el gasto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2A670739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Luego se calcula el ingreso total de los hogares sumando las cantidades reportadas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122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126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4D8CD3BF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lastRenderedPageBreak/>
              <w:t>Se obtiene el ingreso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2EA42F83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y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escoge el mayor valor entre estas cantidades, variable que será considerada el ingreso final por hogar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6BBF885B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divide el ingreso final del hogar entre el número de personas que lo conforman para obtener su ingreso per cápita.</w:t>
            </w:r>
          </w:p>
          <w:p w14:paraId="2DDF0E1C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Los hogares son ordenados en forma creciente respecto al valor de su ingreso per cápita: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 xml:space="preserve">1 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,…, 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n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. Se construye la distribución de frecuencias relativas acumuladas de los hogares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y la distribución de frecuencias relativas acumuladas de los ingresos por hogar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con las fórmulas previamente presentadas.</w:t>
            </w:r>
          </w:p>
          <w:p w14:paraId="612D162C" w14:textId="77777777" w:rsidR="00BA395D" w:rsidRPr="00D3030D" w:rsidRDefault="00BA395D" w:rsidP="00A050A0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grafican las coordenadas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  <w:p w14:paraId="19B87333" w14:textId="77777777" w:rsidR="00BA395D" w:rsidRPr="00D3030D" w:rsidRDefault="00BA395D" w:rsidP="005204F9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4281D81" w14:textId="77777777" w:rsidR="00BA395D" w:rsidRPr="00D3030D" w:rsidRDefault="00BA395D" w:rsidP="005204F9">
            <w:pPr>
              <w:pStyle w:val="Prrafodelista"/>
              <w:spacing w:after="160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Curva de Lorenz para los ingresos de las personas ocupadas</w:t>
            </w:r>
          </w:p>
          <w:p w14:paraId="2200BDA0" w14:textId="77777777" w:rsidR="00BA395D" w:rsidRPr="00D3030D" w:rsidRDefault="00BA395D" w:rsidP="005204F9">
            <w:pPr>
              <w:pStyle w:val="Prrafodelista"/>
              <w:spacing w:after="160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1775BD9" w14:textId="77777777" w:rsidR="00BA395D" w:rsidRPr="00D3030D" w:rsidRDefault="00BA395D" w:rsidP="00A050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12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D3030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D3030D">
              <w:rPr>
                <w:rFonts w:ascii="Arial" w:eastAsia="Arial" w:hAnsi="Arial" w:cs="Arial"/>
                <w:sz w:val="20"/>
                <w:szCs w:val="20"/>
              </w:rPr>
              <w:t>12) en las zonas urbanas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b>
              </m:sSub>
            </m:oMath>
            <w:r w:rsidRPr="00D3030D">
              <w:rPr>
                <w:rFonts w:ascii="Arial" w:eastAsia="Arial" w:hAnsi="Arial" w:cs="Arial"/>
                <w:sz w:val="20"/>
                <w:szCs w:val="20"/>
              </w:rPr>
              <w:t xml:space="preserve">=1) y 10 años y más </w:t>
            </w: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D3030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D3030D">
              <w:rPr>
                <w:rFonts w:ascii="Arial" w:eastAsia="Arial" w:hAnsi="Arial" w:cs="Arial"/>
                <w:sz w:val="20"/>
                <w:szCs w:val="20"/>
              </w:rPr>
              <w:t>10) en las zonas rurales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b>
              </m:sSub>
            </m:oMath>
            <w:r w:rsidRPr="00D3030D">
              <w:rPr>
                <w:rFonts w:ascii="Arial" w:eastAsia="Arial" w:hAnsi="Arial" w:cs="Arial"/>
                <w:sz w:val="20"/>
                <w:szCs w:val="20"/>
              </w:rPr>
              <w:t>=2).</w:t>
            </w:r>
          </w:p>
          <w:p w14:paraId="2B0B5A91" w14:textId="77777777" w:rsidR="00BA395D" w:rsidRPr="00D3030D" w:rsidRDefault="00BA395D" w:rsidP="00A050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D3030D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D3030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D3030D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D3030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D3030D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D3030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D3030D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6D9E3222" w14:textId="77777777" w:rsidR="00BA395D" w:rsidRPr="00D3030D" w:rsidRDefault="00BA395D" w:rsidP="00A050A0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calculan los ingresos laborales por persona ocupada median la siguiente expresión:</w:t>
            </w:r>
          </w:p>
          <w:p w14:paraId="68F62ACD" w14:textId="77777777" w:rsidR="00BA395D" w:rsidRPr="00D3030D" w:rsidRDefault="00BA395D" w:rsidP="005204F9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6D4DC67" w14:textId="77777777" w:rsidR="00BA395D" w:rsidRPr="00D3030D" w:rsidRDefault="00D3030D" w:rsidP="005204F9">
            <w:pPr>
              <w:pStyle w:val="Prrafodelista"/>
              <w:spacing w:after="160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i</m:t>
                </m:r>
                <m: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+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i+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i+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i</m:t>
                </m:r>
              </m:oMath>
            </m:oMathPara>
          </w:p>
          <w:p w14:paraId="6F1844C4" w14:textId="77777777" w:rsidR="00BA395D" w:rsidRPr="00D3030D" w:rsidRDefault="00BA395D" w:rsidP="005204F9">
            <w:pPr>
              <w:pStyle w:val="Prrafodelista"/>
              <w:spacing w:after="160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112FBE2" w14:textId="77777777" w:rsidR="00BA395D" w:rsidRPr="00D3030D" w:rsidRDefault="00BA395D" w:rsidP="00A050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Los individuos son ordenados en forma creciente respecto al valor de sus ingresos: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 xml:space="preserve">1 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,…, 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n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. Se construye la distribución de frecuencias relativas acumuladas de las personas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 y la distribución de frecuencias relativas acumuladas de los ingresos laborales de las personas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con las fórmulas previamente presentadas.</w:t>
            </w:r>
          </w:p>
          <w:p w14:paraId="2055B723" w14:textId="77777777" w:rsidR="00BA395D" w:rsidRPr="00D3030D" w:rsidRDefault="00BA395D" w:rsidP="00A050A0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grafican las coordenadas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  <w:p w14:paraId="135F8FBC" w14:textId="77777777" w:rsidR="00BA395D" w:rsidRPr="00D3030D" w:rsidRDefault="00BA395D" w:rsidP="005204F9">
            <w:p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NOTA</w:t>
            </w: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: A las personas ocupadas que reportaron ingreso laboral en cero se les imputará proxy del ingreso sumando los gastos reportados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D3030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3030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dividido el número de personas ocupadas por hogar.</w:t>
            </w:r>
          </w:p>
          <w:p w14:paraId="5419E6DA" w14:textId="77777777" w:rsidR="00BA395D" w:rsidRPr="00D3030D" w:rsidRDefault="00BA395D" w:rsidP="005204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254" w:rsidRPr="00E16F14" w14:paraId="46B9D9DB" w14:textId="77777777" w:rsidTr="001F2369">
        <w:trPr>
          <w:trHeight w:val="5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D9649" w14:textId="1592C9FB" w:rsidR="000F7254" w:rsidRPr="00D3030D" w:rsidRDefault="000F7254" w:rsidP="005204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30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E3F" w14:textId="77777777" w:rsidR="001F2369" w:rsidRPr="00D3030D" w:rsidRDefault="001F2369" w:rsidP="001F2369">
            <w:pPr>
              <w:pStyle w:val="Bibliografa"/>
              <w:numPr>
                <w:ilvl w:val="0"/>
                <w:numId w:val="4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D3030D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Ficha Metodológica Gran Encuesta Integrada de Hogares.</w:t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3A2804F6" w14:textId="77777777" w:rsidR="001F2369" w:rsidRPr="00D3030D" w:rsidRDefault="001F2369" w:rsidP="001F2369">
            <w:pPr>
              <w:pStyle w:val="Bibliografa"/>
              <w:numPr>
                <w:ilvl w:val="0"/>
                <w:numId w:val="4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lastRenderedPageBreak/>
              <w:fldChar w:fldCharType="begin"/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instrText xml:space="preserve"> BIBLIOGRAPHY  \l 2058 </w:instrText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separate"/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Lora, E., &amp; Prada, S. (2023). </w:t>
            </w:r>
            <w:r w:rsidRPr="00D3030D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Técnicas de medición económica: metodología y aplicaciones en Colombia (Sexta edición).</w:t>
            </w: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Universidad Icesi.</w:t>
            </w:r>
          </w:p>
          <w:p w14:paraId="031B3B2D" w14:textId="2C53358C" w:rsidR="000F7254" w:rsidRDefault="001F2369" w:rsidP="001F2369">
            <w:pPr>
              <w:rPr>
                <w:rFonts w:ascii="Arial" w:hAnsi="Arial" w:cs="Arial"/>
                <w:sz w:val="20"/>
                <w:szCs w:val="20"/>
              </w:rPr>
            </w:pPr>
            <w:r w:rsidRPr="00D3030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9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98DA7" w14:textId="77777777" w:rsidR="008E4AF7" w:rsidRDefault="008E4AF7" w:rsidP="00B30E3A">
      <w:pPr>
        <w:spacing w:after="0" w:line="240" w:lineRule="auto"/>
      </w:pPr>
      <w:r>
        <w:separator/>
      </w:r>
    </w:p>
  </w:endnote>
  <w:endnote w:type="continuationSeparator" w:id="0">
    <w:p w14:paraId="586B7CDB" w14:textId="77777777" w:rsidR="008E4AF7" w:rsidRDefault="008E4AF7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9B439" w14:textId="77777777" w:rsidR="008E4AF7" w:rsidRDefault="008E4AF7" w:rsidP="00B30E3A">
      <w:pPr>
        <w:spacing w:after="0" w:line="240" w:lineRule="auto"/>
      </w:pPr>
      <w:r>
        <w:separator/>
      </w:r>
    </w:p>
  </w:footnote>
  <w:footnote w:type="continuationSeparator" w:id="0">
    <w:p w14:paraId="05AC05AA" w14:textId="77777777" w:rsidR="008E4AF7" w:rsidRDefault="008E4AF7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114A0"/>
    <w:multiLevelType w:val="hybridMultilevel"/>
    <w:tmpl w:val="3C5E6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B2D6E"/>
    <w:multiLevelType w:val="hybridMultilevel"/>
    <w:tmpl w:val="1F8EC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56258"/>
    <w:multiLevelType w:val="hybridMultilevel"/>
    <w:tmpl w:val="ACA01D5A"/>
    <w:lvl w:ilvl="0" w:tplc="84BEFD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E583C"/>
    <w:multiLevelType w:val="hybridMultilevel"/>
    <w:tmpl w:val="FBA0D4F2"/>
    <w:lvl w:ilvl="0" w:tplc="D7882992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74956">
    <w:abstractNumId w:val="3"/>
  </w:num>
  <w:num w:numId="2" w16cid:durableId="322318082">
    <w:abstractNumId w:val="2"/>
  </w:num>
  <w:num w:numId="3" w16cid:durableId="640883106">
    <w:abstractNumId w:val="1"/>
  </w:num>
  <w:num w:numId="4" w16cid:durableId="131977413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F10B6"/>
    <w:rsid w:val="000F18D1"/>
    <w:rsid w:val="000F7254"/>
    <w:rsid w:val="00162A9D"/>
    <w:rsid w:val="00172655"/>
    <w:rsid w:val="001F024A"/>
    <w:rsid w:val="001F2369"/>
    <w:rsid w:val="001F5773"/>
    <w:rsid w:val="00214EB5"/>
    <w:rsid w:val="002853FB"/>
    <w:rsid w:val="00310CF3"/>
    <w:rsid w:val="00323E0D"/>
    <w:rsid w:val="00325059"/>
    <w:rsid w:val="00383CDD"/>
    <w:rsid w:val="003E0441"/>
    <w:rsid w:val="00404FC2"/>
    <w:rsid w:val="004209A6"/>
    <w:rsid w:val="004243F9"/>
    <w:rsid w:val="004428E9"/>
    <w:rsid w:val="004E18B0"/>
    <w:rsid w:val="005D2482"/>
    <w:rsid w:val="00646B0F"/>
    <w:rsid w:val="006801FA"/>
    <w:rsid w:val="006948E1"/>
    <w:rsid w:val="006E13F2"/>
    <w:rsid w:val="00726B66"/>
    <w:rsid w:val="00735A19"/>
    <w:rsid w:val="007D68F2"/>
    <w:rsid w:val="00892843"/>
    <w:rsid w:val="008934F7"/>
    <w:rsid w:val="008D4955"/>
    <w:rsid w:val="008E4AF7"/>
    <w:rsid w:val="009445AD"/>
    <w:rsid w:val="009C74A5"/>
    <w:rsid w:val="009E4C68"/>
    <w:rsid w:val="00A050A0"/>
    <w:rsid w:val="00A25A83"/>
    <w:rsid w:val="00A80739"/>
    <w:rsid w:val="00B01EDC"/>
    <w:rsid w:val="00B30E3A"/>
    <w:rsid w:val="00B54FE1"/>
    <w:rsid w:val="00B55FFA"/>
    <w:rsid w:val="00B870B1"/>
    <w:rsid w:val="00BA395D"/>
    <w:rsid w:val="00BE6B67"/>
    <w:rsid w:val="00C6338C"/>
    <w:rsid w:val="00CA2D1A"/>
    <w:rsid w:val="00D079D5"/>
    <w:rsid w:val="00D10057"/>
    <w:rsid w:val="00D168B5"/>
    <w:rsid w:val="00D3030D"/>
    <w:rsid w:val="00D87C33"/>
    <w:rsid w:val="00DC1A54"/>
    <w:rsid w:val="00E16F14"/>
    <w:rsid w:val="00F01892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D10057"/>
  </w:style>
  <w:style w:type="character" w:styleId="Hipervnculo">
    <w:name w:val="Hyperlink"/>
    <w:basedOn w:val="Fuentedeprrafopredeter"/>
    <w:uiPriority w:val="99"/>
    <w:unhideWhenUsed/>
    <w:rsid w:val="00DC1A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1A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C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cepal.org/items/41ee26cc-c8af-4d88-a3f1-5bf841068b8a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Med01</b:Tag>
    <b:SourceType>Report</b:SourceType>
    <b:Guid>{1F84AFCB-907D-4B78-9840-431CAFDD04EF}</b:Guid>
    <b:Title>Consideraciones sobre el índice de Gini para medir la concentración del ingreso</b:Title>
    <b:Year>2001</b:Year>
    <b:Publisher>CEPAL, NU</b:Publisher>
    <b:City>Chile</b:City>
    <b:Author>
      <b:Author>
        <b:Corporate>Medina, Fernando; NU. CEPAL. División de Estadística y Proyecciones Económicas;</b:Corporate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BCFF4AD0-1089-4A36-916B-6162FD07F5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15A730-3C65-4B9E-93E6-B6D72D1E2C30}"/>
</file>

<file path=customXml/itemProps3.xml><?xml version="1.0" encoding="utf-8"?>
<ds:datastoreItem xmlns:ds="http://schemas.openxmlformats.org/officeDocument/2006/customXml" ds:itemID="{46D26402-D163-4383-B445-448239DE8AFA}"/>
</file>

<file path=customXml/itemProps4.xml><?xml version="1.0" encoding="utf-8"?>
<ds:datastoreItem xmlns:ds="http://schemas.openxmlformats.org/officeDocument/2006/customXml" ds:itemID="{A9C8627B-877C-47A3-9601-F565A27EF4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36</cp:revision>
  <dcterms:created xsi:type="dcterms:W3CDTF">2023-10-21T12:11:00Z</dcterms:created>
  <dcterms:modified xsi:type="dcterms:W3CDTF">2024-05-23T19:11:00Z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