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C59A" w14:textId="77777777" w:rsidR="005A1290" w:rsidRDefault="005A1290" w:rsidP="00C36694">
      <w:pPr>
        <w:jc w:val="center"/>
        <w:rPr>
          <w:rFonts w:ascii="Calibri" w:hAnsi="Calibri"/>
          <w:sz w:val="28"/>
        </w:rPr>
      </w:pPr>
    </w:p>
    <w:p w14:paraId="3C516A1B" w14:textId="77777777" w:rsidR="006C202C" w:rsidRPr="006C202C" w:rsidRDefault="006C202C" w:rsidP="00C36694">
      <w:pPr>
        <w:jc w:val="center"/>
        <w:rPr>
          <w:rFonts w:ascii="Calibri" w:hAnsi="Calibri"/>
          <w:sz w:val="28"/>
        </w:rPr>
      </w:pPr>
      <w:r w:rsidRPr="006C202C">
        <w:rPr>
          <w:rFonts w:ascii="Calibri" w:hAnsi="Calibri"/>
          <w:sz w:val="28"/>
        </w:rPr>
        <w:t>UNIVERSITY OF ONTARIO INSTITUTE OF TECHNOLOGY</w:t>
      </w:r>
    </w:p>
    <w:p w14:paraId="1A605A63" w14:textId="77777777" w:rsidR="005D0D91" w:rsidRDefault="000E2612" w:rsidP="00C36694">
      <w:pPr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BUSI </w:t>
      </w:r>
      <w:r w:rsidR="005D0D91">
        <w:rPr>
          <w:rFonts w:ascii="Calibri" w:hAnsi="Calibri"/>
          <w:sz w:val="28"/>
        </w:rPr>
        <w:t>1130U</w:t>
      </w:r>
      <w:r w:rsidR="006C202C" w:rsidRPr="006C202C">
        <w:rPr>
          <w:rFonts w:ascii="Calibri" w:hAnsi="Calibri"/>
          <w:sz w:val="28"/>
        </w:rPr>
        <w:t>—Intr</w:t>
      </w:r>
      <w:r>
        <w:rPr>
          <w:rFonts w:ascii="Calibri" w:hAnsi="Calibri"/>
          <w:sz w:val="28"/>
        </w:rPr>
        <w:t xml:space="preserve">oductory Financial Accounting </w:t>
      </w:r>
    </w:p>
    <w:p w14:paraId="7D7853DD" w14:textId="77777777" w:rsidR="006C202C" w:rsidRDefault="0037726A" w:rsidP="00C36694">
      <w:pPr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Winter 2020</w:t>
      </w:r>
    </w:p>
    <w:p w14:paraId="0C364591" w14:textId="77777777" w:rsidR="006C202C" w:rsidRPr="006C202C" w:rsidRDefault="006C202C" w:rsidP="00C36694">
      <w:pPr>
        <w:jc w:val="center"/>
        <w:rPr>
          <w:rFonts w:ascii="Calibri" w:hAnsi="Calibri"/>
          <w:sz w:val="28"/>
        </w:rPr>
      </w:pPr>
    </w:p>
    <w:p w14:paraId="19177DF5" w14:textId="77777777" w:rsidR="00D0136B" w:rsidRDefault="006232FA" w:rsidP="00C36694">
      <w:pPr>
        <w:jc w:val="center"/>
        <w:rPr>
          <w:rFonts w:ascii="Calibri" w:hAnsi="Calibri"/>
          <w:b/>
        </w:rPr>
      </w:pPr>
      <w:r w:rsidRPr="006C202C">
        <w:rPr>
          <w:rFonts w:ascii="Calibri" w:hAnsi="Calibri"/>
          <w:b/>
        </w:rPr>
        <w:t>Face-to-face hand-in</w:t>
      </w:r>
      <w:r w:rsidR="00BC60E6">
        <w:rPr>
          <w:rFonts w:ascii="Calibri" w:hAnsi="Calibri"/>
          <w:b/>
        </w:rPr>
        <w:t xml:space="preserve"> assignment</w:t>
      </w:r>
      <w:r w:rsidRPr="006C202C">
        <w:rPr>
          <w:rFonts w:ascii="Calibri" w:hAnsi="Calibri"/>
          <w:b/>
        </w:rPr>
        <w:t xml:space="preserve"> #</w:t>
      </w:r>
      <w:r w:rsidR="00C36694" w:rsidRPr="006C202C">
        <w:rPr>
          <w:rFonts w:ascii="Calibri" w:hAnsi="Calibri"/>
          <w:b/>
        </w:rPr>
        <w:t>1</w:t>
      </w:r>
    </w:p>
    <w:p w14:paraId="3547CEE9" w14:textId="77777777" w:rsidR="001541A9" w:rsidRDefault="001541A9" w:rsidP="00C36694">
      <w:pPr>
        <w:jc w:val="center"/>
        <w:rPr>
          <w:rFonts w:ascii="Calibri" w:hAnsi="Calibri"/>
          <w:b/>
        </w:rPr>
      </w:pPr>
    </w:p>
    <w:p w14:paraId="1ED98F3F" w14:textId="77777777" w:rsidR="00045271" w:rsidRPr="00E0357F" w:rsidRDefault="00045271" w:rsidP="00045271">
      <w:pPr>
        <w:ind w:left="360"/>
        <w:rPr>
          <w:rFonts w:asciiTheme="minorHAnsi" w:hAnsiTheme="minorHAnsi"/>
          <w:b/>
          <w:lang w:val="en-US"/>
        </w:rPr>
      </w:pPr>
      <w:r w:rsidRPr="00E0357F">
        <w:rPr>
          <w:rFonts w:asciiTheme="minorHAnsi" w:hAnsiTheme="minorHAnsi"/>
          <w:b/>
          <w:lang w:val="en-US"/>
        </w:rPr>
        <w:t>Submission Requirements</w:t>
      </w:r>
    </w:p>
    <w:p w14:paraId="1B592C1F" w14:textId="77777777" w:rsidR="005D0D91" w:rsidRPr="005D0D91" w:rsidRDefault="00045271" w:rsidP="00045271">
      <w:pPr>
        <w:pStyle w:val="ListParagraph"/>
        <w:numPr>
          <w:ilvl w:val="0"/>
          <w:numId w:val="6"/>
        </w:numPr>
        <w:rPr>
          <w:rFonts w:asciiTheme="minorHAnsi" w:hAnsiTheme="minorHAnsi"/>
          <w:b/>
          <w:lang w:val="en-US"/>
        </w:rPr>
      </w:pPr>
      <w:r w:rsidRPr="00045271">
        <w:rPr>
          <w:rFonts w:asciiTheme="minorHAnsi" w:hAnsiTheme="minorHAnsi"/>
          <w:color w:val="FF0000"/>
        </w:rPr>
        <w:t>You must hand in your face-to-face s</w:t>
      </w:r>
      <w:r w:rsidR="00560D7C">
        <w:rPr>
          <w:rFonts w:asciiTheme="minorHAnsi" w:hAnsiTheme="minorHAnsi"/>
          <w:color w:val="FF0000"/>
        </w:rPr>
        <w:t>ubmissions on at</w:t>
      </w:r>
      <w:r w:rsidRPr="00045271">
        <w:rPr>
          <w:rFonts w:asciiTheme="minorHAnsi" w:hAnsiTheme="minorHAnsi"/>
          <w:color w:val="FF0000"/>
        </w:rPr>
        <w:t xml:space="preserve"> the start of class</w:t>
      </w:r>
      <w:r>
        <w:rPr>
          <w:rFonts w:asciiTheme="minorHAnsi" w:hAnsiTheme="minorHAnsi"/>
        </w:rPr>
        <w:t xml:space="preserve">. </w:t>
      </w:r>
    </w:p>
    <w:p w14:paraId="46FE58A2" w14:textId="77777777" w:rsidR="00045271" w:rsidRPr="00E0357F" w:rsidRDefault="00045271" w:rsidP="00045271">
      <w:pPr>
        <w:pStyle w:val="ListParagraph"/>
        <w:numPr>
          <w:ilvl w:val="0"/>
          <w:numId w:val="6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</w:rPr>
        <w:t>Late submissions will not be accepted.</w:t>
      </w:r>
    </w:p>
    <w:p w14:paraId="269B219C" w14:textId="77777777" w:rsidR="00045271" w:rsidRPr="0084277D" w:rsidRDefault="00045271" w:rsidP="00045271">
      <w:pPr>
        <w:pStyle w:val="ListParagraph"/>
        <w:numPr>
          <w:ilvl w:val="0"/>
          <w:numId w:val="6"/>
        </w:numPr>
        <w:rPr>
          <w:rFonts w:asciiTheme="minorHAnsi" w:hAnsiTheme="minorHAnsi"/>
          <w:b/>
          <w:lang w:val="en-US"/>
        </w:rPr>
      </w:pPr>
      <w:r w:rsidRPr="00E0357F">
        <w:rPr>
          <w:rFonts w:asciiTheme="minorHAnsi" w:hAnsiTheme="minorHAnsi"/>
        </w:rPr>
        <w:t>Face-to-face assignments must be typed.</w:t>
      </w:r>
    </w:p>
    <w:p w14:paraId="28652096" w14:textId="77777777" w:rsidR="0084277D" w:rsidRPr="00DB4874" w:rsidRDefault="0084277D" w:rsidP="00045271">
      <w:pPr>
        <w:pStyle w:val="ListParagraph"/>
        <w:numPr>
          <w:ilvl w:val="0"/>
          <w:numId w:val="6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</w:rPr>
        <w:t>Do not forget to include your name and student number on each submission</w:t>
      </w:r>
    </w:p>
    <w:p w14:paraId="4A9FD5D6" w14:textId="77777777" w:rsidR="00DB4874" w:rsidRPr="00E0357F" w:rsidRDefault="00DB4874" w:rsidP="00045271">
      <w:pPr>
        <w:pStyle w:val="ListParagraph"/>
        <w:numPr>
          <w:ilvl w:val="0"/>
          <w:numId w:val="6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</w:rPr>
        <w:t>You must attempt to answer all questions, including any required calculations, in order to receive a passing grade.</w:t>
      </w:r>
    </w:p>
    <w:p w14:paraId="70DB472F" w14:textId="77777777" w:rsidR="00583F53" w:rsidRPr="001A368A" w:rsidRDefault="00583F53" w:rsidP="00583F53">
      <w:pPr>
        <w:pStyle w:val="ListParagraph"/>
        <w:numPr>
          <w:ilvl w:val="0"/>
          <w:numId w:val="6"/>
        </w:numPr>
        <w:rPr>
          <w:rFonts w:asciiTheme="minorHAnsi" w:hAnsiTheme="minorHAnsi"/>
          <w:b/>
          <w:u w:val="single"/>
          <w:lang w:val="en-US"/>
        </w:rPr>
      </w:pPr>
      <w:r w:rsidRPr="001A368A">
        <w:rPr>
          <w:rFonts w:asciiTheme="minorHAnsi" w:hAnsiTheme="minorHAnsi"/>
          <w:color w:val="FF0000"/>
          <w:u w:val="single"/>
        </w:rPr>
        <w:t>YOU MUST WORK ON YOUR OWN.  INSTANCES OF PLAIGARISM WILL BE TAKEN SERIOUSLY.</w:t>
      </w:r>
    </w:p>
    <w:p w14:paraId="2746CB1D" w14:textId="77777777" w:rsidR="00045271" w:rsidRDefault="00045271" w:rsidP="001541A9">
      <w:pPr>
        <w:rPr>
          <w:rFonts w:ascii="Calibri" w:hAnsi="Calibri"/>
          <w:b/>
        </w:rPr>
      </w:pPr>
    </w:p>
    <w:p w14:paraId="61EAE6E2" w14:textId="77777777" w:rsidR="00B97AE4" w:rsidRDefault="00303517" w:rsidP="001541A9">
      <w:pPr>
        <w:rPr>
          <w:rFonts w:ascii="Calibri" w:hAnsi="Calibri"/>
          <w:b/>
        </w:rPr>
      </w:pPr>
      <w:r>
        <w:rPr>
          <w:rFonts w:ascii="Calibri" w:hAnsi="Calibri"/>
          <w:b/>
        </w:rPr>
        <w:t>Part I</w:t>
      </w:r>
      <w:r w:rsidR="00A4330D">
        <w:rPr>
          <w:rFonts w:ascii="Calibri" w:hAnsi="Calibri"/>
          <w:b/>
        </w:rPr>
        <w:t xml:space="preserve"> – Course Outline</w:t>
      </w:r>
      <w:r>
        <w:rPr>
          <w:rFonts w:ascii="Calibri" w:hAnsi="Calibri"/>
          <w:b/>
        </w:rPr>
        <w:t>:</w:t>
      </w:r>
    </w:p>
    <w:p w14:paraId="0BA853A8" w14:textId="77777777" w:rsidR="00203FD7" w:rsidRPr="005D0D91" w:rsidRDefault="00203FD7" w:rsidP="005D0D91">
      <w:pPr>
        <w:rPr>
          <w:rFonts w:ascii="Calibri" w:hAnsi="Calibri"/>
        </w:rPr>
      </w:pPr>
    </w:p>
    <w:p w14:paraId="539E088E" w14:textId="6C81A4C4" w:rsidR="00AD099D" w:rsidRDefault="00A4330D" w:rsidP="00B97AE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When is the first Midterm? (Please provide day of the week as well)</w:t>
      </w:r>
    </w:p>
    <w:p w14:paraId="449AE71E" w14:textId="08DC76FB" w:rsidR="005A1290" w:rsidRDefault="005A1290" w:rsidP="005A1290">
      <w:pPr>
        <w:rPr>
          <w:rFonts w:ascii="Calibri" w:hAnsi="Calibri"/>
        </w:rPr>
      </w:pPr>
    </w:p>
    <w:p w14:paraId="0CCD35B5" w14:textId="2922EA14" w:rsidR="005A1290" w:rsidRPr="005A1290" w:rsidRDefault="005A1290" w:rsidP="005A1290">
      <w:pPr>
        <w:ind w:firstLine="360"/>
        <w:rPr>
          <w:rFonts w:ascii="Calibri" w:hAnsi="Calibri"/>
        </w:rPr>
      </w:pPr>
      <w:r>
        <w:t xml:space="preserve">      Saturday February 8th</w:t>
      </w:r>
    </w:p>
    <w:p w14:paraId="70BB1616" w14:textId="77777777" w:rsidR="001F0A6D" w:rsidRPr="001F0A6D" w:rsidRDefault="001F0A6D" w:rsidP="001F0A6D">
      <w:pPr>
        <w:pStyle w:val="ListParagraph"/>
        <w:rPr>
          <w:rFonts w:ascii="Calibri" w:hAnsi="Calibri"/>
        </w:rPr>
      </w:pPr>
    </w:p>
    <w:p w14:paraId="544B366A" w14:textId="77777777" w:rsidR="00907F00" w:rsidRDefault="0042023A" w:rsidP="00B97AE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Using the course outline calculate the final grade for each student. Note: for face-to-face a mark was recorded </w:t>
      </w:r>
      <w:r w:rsidR="00907F00">
        <w:rPr>
          <w:rFonts w:ascii="Calibri" w:hAnsi="Calibri"/>
        </w:rPr>
        <w:t>per submission.  All others marks are raw scores for each category.</w:t>
      </w:r>
    </w:p>
    <w:p w14:paraId="6473540D" w14:textId="77777777" w:rsidR="00907F00" w:rsidRPr="00907F00" w:rsidRDefault="00907F00" w:rsidP="00907F00">
      <w:pPr>
        <w:pStyle w:val="ListParagraph"/>
        <w:rPr>
          <w:rFonts w:ascii="Calibri" w:hAnsi="Calibri"/>
        </w:rPr>
      </w:pP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699"/>
        <w:gridCol w:w="862"/>
        <w:gridCol w:w="740"/>
        <w:gridCol w:w="1479"/>
        <w:gridCol w:w="737"/>
        <w:gridCol w:w="968"/>
        <w:gridCol w:w="1219"/>
      </w:tblGrid>
      <w:tr w:rsidR="006B2DE2" w14:paraId="702B0991" w14:textId="77777777" w:rsidTr="006B2DE2">
        <w:trPr>
          <w:trHeight w:val="1200"/>
        </w:trPr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76C64DE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699" w:type="dxa"/>
            <w:shd w:val="clear" w:color="auto" w:fill="auto"/>
            <w:noWrap/>
            <w:vAlign w:val="center"/>
            <w:hideMark/>
          </w:tcPr>
          <w:p w14:paraId="546672F0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Participation</w:t>
            </w:r>
          </w:p>
        </w:tc>
        <w:tc>
          <w:tcPr>
            <w:tcW w:w="862" w:type="dxa"/>
          </w:tcPr>
          <w:p w14:paraId="7954364E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Orion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B4355D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Face-to-Face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52700155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Assignments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2DEFFDD6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Term Test 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AE9BA0E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Final Exam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23939796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Final Grade</w:t>
            </w:r>
          </w:p>
        </w:tc>
      </w:tr>
      <w:tr w:rsidR="006B2DE2" w14:paraId="0A1AB37F" w14:textId="77777777" w:rsidTr="006B2DE2">
        <w:trPr>
          <w:trHeight w:val="469"/>
        </w:trPr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E1AE2BB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Out of:</w:t>
            </w:r>
          </w:p>
        </w:tc>
        <w:tc>
          <w:tcPr>
            <w:tcW w:w="1699" w:type="dxa"/>
            <w:shd w:val="clear" w:color="auto" w:fill="auto"/>
            <w:noWrap/>
            <w:vAlign w:val="center"/>
            <w:hideMark/>
          </w:tcPr>
          <w:p w14:paraId="2878FEDF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862" w:type="dxa"/>
          </w:tcPr>
          <w:p w14:paraId="44D669CF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A5F7E6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A241A42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80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6101870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2865EF2" w14:textId="77777777" w:rsidR="006B2DE2" w:rsidRDefault="006B2DE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27F55716" w14:textId="77777777" w:rsidR="006B2DE2" w:rsidRDefault="006B2D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6B2DE2" w14:paraId="66BFC80E" w14:textId="77777777" w:rsidTr="006B2DE2">
        <w:trPr>
          <w:trHeight w:val="315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14:paraId="3D64D412" w14:textId="77777777" w:rsidR="006B2DE2" w:rsidRDefault="006B2D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Tom</w:t>
            </w:r>
          </w:p>
        </w:tc>
        <w:tc>
          <w:tcPr>
            <w:tcW w:w="1699" w:type="dxa"/>
            <w:shd w:val="clear" w:color="auto" w:fill="auto"/>
            <w:noWrap/>
            <w:vAlign w:val="bottom"/>
            <w:hideMark/>
          </w:tcPr>
          <w:p w14:paraId="60289493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62" w:type="dxa"/>
          </w:tcPr>
          <w:p w14:paraId="0FD8A3AC" w14:textId="77777777" w:rsidR="006B2DE2" w:rsidRDefault="006B2DE2" w:rsidP="0084277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50BAFEA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C6860DA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B58518E" w14:textId="77777777" w:rsidR="006B2DE2" w:rsidRPr="009D4C6F" w:rsidRDefault="006B2DE2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9D4C6F">
              <w:rPr>
                <w:rFonts w:ascii="Calibri" w:hAnsi="Calibri"/>
                <w:color w:val="000000" w:themeColor="text1"/>
              </w:rPr>
              <w:t>50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63D7D91" w14:textId="77777777" w:rsidR="006B2DE2" w:rsidRPr="009D4C6F" w:rsidRDefault="006B2DE2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9D4C6F">
              <w:rPr>
                <w:rFonts w:ascii="Calibri" w:hAnsi="Calibri"/>
                <w:color w:val="000000" w:themeColor="text1"/>
              </w:rPr>
              <w:t>45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006FA5E" w14:textId="119AB2BF" w:rsidR="006B2DE2" w:rsidRDefault="00B93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F3D9D">
              <w:rPr>
                <w:rFonts w:ascii="Calibri" w:hAnsi="Calibri"/>
                <w:color w:val="000000"/>
              </w:rPr>
              <w:t>5%</w:t>
            </w:r>
          </w:p>
        </w:tc>
      </w:tr>
      <w:tr w:rsidR="006B2DE2" w14:paraId="3618F7B8" w14:textId="77777777" w:rsidTr="006B2DE2">
        <w:trPr>
          <w:trHeight w:val="315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14:paraId="666AAE1B" w14:textId="77777777" w:rsidR="006B2DE2" w:rsidRDefault="006B2D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Syed</w:t>
            </w:r>
          </w:p>
        </w:tc>
        <w:tc>
          <w:tcPr>
            <w:tcW w:w="1699" w:type="dxa"/>
            <w:shd w:val="clear" w:color="auto" w:fill="auto"/>
            <w:noWrap/>
            <w:vAlign w:val="bottom"/>
            <w:hideMark/>
          </w:tcPr>
          <w:p w14:paraId="25A626AA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62" w:type="dxa"/>
          </w:tcPr>
          <w:p w14:paraId="72260DF6" w14:textId="77777777" w:rsidR="006B2DE2" w:rsidRDefault="00604B6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8F29E23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EA983A6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82C5676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7FDE0EF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1AAF22A" w14:textId="2A2701D7" w:rsidR="006B2DE2" w:rsidRDefault="00B93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  <w:r w:rsidR="00BF3D9D">
              <w:rPr>
                <w:rFonts w:ascii="Calibri" w:hAnsi="Calibri"/>
                <w:color w:val="000000"/>
              </w:rPr>
              <w:t>%</w:t>
            </w:r>
          </w:p>
        </w:tc>
      </w:tr>
      <w:tr w:rsidR="006B2DE2" w14:paraId="4A5817B5" w14:textId="77777777" w:rsidTr="00604B64">
        <w:trPr>
          <w:trHeight w:val="315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14:paraId="76E42C1A" w14:textId="77777777" w:rsidR="006B2DE2" w:rsidRDefault="006B2D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Wenita</w:t>
            </w:r>
          </w:p>
        </w:tc>
        <w:tc>
          <w:tcPr>
            <w:tcW w:w="1699" w:type="dxa"/>
            <w:shd w:val="clear" w:color="auto" w:fill="auto"/>
            <w:noWrap/>
            <w:vAlign w:val="bottom"/>
            <w:hideMark/>
          </w:tcPr>
          <w:p w14:paraId="2A7CCE9E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62" w:type="dxa"/>
          </w:tcPr>
          <w:p w14:paraId="110F4FE7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37915DB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7482A3B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688F1B4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EAD38D2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76698D21" w14:textId="57E84484" w:rsidR="006B2DE2" w:rsidRDefault="00BF3D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57%</w:t>
            </w:r>
          </w:p>
        </w:tc>
      </w:tr>
      <w:tr w:rsidR="006B2DE2" w14:paraId="733300B2" w14:textId="77777777" w:rsidTr="006B2DE2">
        <w:trPr>
          <w:trHeight w:val="315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14:paraId="30926A2C" w14:textId="77777777" w:rsidR="006B2DE2" w:rsidRDefault="006B2D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Amin </w:t>
            </w:r>
          </w:p>
        </w:tc>
        <w:tc>
          <w:tcPr>
            <w:tcW w:w="1699" w:type="dxa"/>
            <w:shd w:val="clear" w:color="auto" w:fill="auto"/>
            <w:noWrap/>
            <w:vAlign w:val="bottom"/>
            <w:hideMark/>
          </w:tcPr>
          <w:p w14:paraId="7BFFF7A4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862" w:type="dxa"/>
          </w:tcPr>
          <w:p w14:paraId="25CC50BB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41DD0B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BC9B0EF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39594AB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C7547C6" w14:textId="77777777" w:rsidR="006B2DE2" w:rsidRDefault="006B2D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A4F671A" w14:textId="40B45C32" w:rsidR="006B2DE2" w:rsidRDefault="00BF3D9D" w:rsidP="00604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89%</w:t>
            </w:r>
          </w:p>
        </w:tc>
      </w:tr>
    </w:tbl>
    <w:p w14:paraId="06AEABF9" w14:textId="77777777" w:rsidR="001F0A6D" w:rsidRDefault="0042023A" w:rsidP="00907F00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760813F2" w14:textId="77777777" w:rsidR="001F0A6D" w:rsidRPr="007B7457" w:rsidRDefault="001F0A6D" w:rsidP="007B7457">
      <w:pPr>
        <w:pStyle w:val="ListParagraph"/>
        <w:rPr>
          <w:rFonts w:ascii="Calibri" w:hAnsi="Calibri"/>
        </w:rPr>
      </w:pPr>
    </w:p>
    <w:p w14:paraId="2EF2165D" w14:textId="77777777" w:rsidR="00203FD7" w:rsidRDefault="00907F00" w:rsidP="00203FD7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From your calculation above which students passed the course and which students failed the course? Of the students that failed please explain why they failed.</w:t>
      </w:r>
    </w:p>
    <w:p w14:paraId="1850B38C" w14:textId="6241D310" w:rsidR="00654BD4" w:rsidRDefault="00654BD4" w:rsidP="00654BD4">
      <w:pPr>
        <w:pStyle w:val="ListParagraph"/>
        <w:rPr>
          <w:rFonts w:ascii="Calibri" w:hAnsi="Calibri"/>
        </w:rPr>
      </w:pPr>
    </w:p>
    <w:p w14:paraId="124AF20B" w14:textId="2E27E501" w:rsidR="00BF3D9D" w:rsidRDefault="00BF3D9D" w:rsidP="00654BD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No one failed the course given the information above. For this question, I did the sum of the weight of the mark times the percent they got. For example: Participation </w:t>
      </w:r>
      <w:r w:rsidR="00D23394">
        <w:rPr>
          <w:rFonts w:ascii="Calibri" w:hAnsi="Calibri"/>
        </w:rPr>
        <w:t xml:space="preserve">has a weight of 5 in this course </w:t>
      </w:r>
      <w:r>
        <w:rPr>
          <w:rFonts w:ascii="Calibri" w:hAnsi="Calibri"/>
        </w:rPr>
        <w:t xml:space="preserve">and Tom got 100% in this section. This would mean his weighted mark would be 5. </w:t>
      </w:r>
    </w:p>
    <w:p w14:paraId="6B04B974" w14:textId="77777777" w:rsidR="002604E6" w:rsidRPr="001F0A6D" w:rsidRDefault="002604E6" w:rsidP="001F0A6D">
      <w:pPr>
        <w:pStyle w:val="ListParagraph"/>
        <w:rPr>
          <w:rFonts w:ascii="Calibri" w:hAnsi="Calibri"/>
        </w:rPr>
      </w:pPr>
    </w:p>
    <w:p w14:paraId="2F4B8ECD" w14:textId="77777777" w:rsidR="001F0A6D" w:rsidRDefault="001F0A6D" w:rsidP="00203FD7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</w:t>
      </w:r>
      <w:r w:rsidR="00907F00">
        <w:rPr>
          <w:rFonts w:ascii="Calibri" w:hAnsi="Calibri"/>
        </w:rPr>
        <w:t>What signed document must be included with this first submission?</w:t>
      </w:r>
    </w:p>
    <w:p w14:paraId="00B22B76" w14:textId="77777777" w:rsidR="00A4330D" w:rsidRDefault="00A4330D" w:rsidP="00045271">
      <w:pPr>
        <w:rPr>
          <w:rFonts w:ascii="Calibri" w:hAnsi="Calibri"/>
          <w:b/>
        </w:rPr>
      </w:pPr>
    </w:p>
    <w:p w14:paraId="662F7C8D" w14:textId="6268A0A2" w:rsidR="00D23394" w:rsidRPr="00D23394" w:rsidRDefault="00D23394" w:rsidP="00D23394">
      <w:pPr>
        <w:ind w:left="36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The declaration of understanding the face-to-face assignment rules must be included with this first submission. </w:t>
      </w:r>
    </w:p>
    <w:p w14:paraId="24B6A319" w14:textId="77777777" w:rsidR="00E622F5" w:rsidRDefault="00E622F5" w:rsidP="00045271">
      <w:pPr>
        <w:rPr>
          <w:rFonts w:ascii="Calibri" w:hAnsi="Calibri"/>
          <w:b/>
        </w:rPr>
      </w:pPr>
    </w:p>
    <w:p w14:paraId="0D9BB925" w14:textId="77777777" w:rsidR="00E622F5" w:rsidRDefault="00E622F5" w:rsidP="00045271">
      <w:pPr>
        <w:rPr>
          <w:rFonts w:ascii="Calibri" w:hAnsi="Calibri"/>
          <w:b/>
        </w:rPr>
      </w:pPr>
    </w:p>
    <w:p w14:paraId="2A1A89B9" w14:textId="77777777" w:rsidR="00A4330D" w:rsidRDefault="00A4330D" w:rsidP="00045271">
      <w:pPr>
        <w:rPr>
          <w:rFonts w:ascii="Calibri" w:hAnsi="Calibri"/>
          <w:b/>
        </w:rPr>
      </w:pPr>
    </w:p>
    <w:p w14:paraId="57224A68" w14:textId="77777777" w:rsidR="001F0A6D" w:rsidRDefault="00303517" w:rsidP="00045271">
      <w:pPr>
        <w:rPr>
          <w:rFonts w:ascii="Calibri" w:hAnsi="Calibri"/>
          <w:b/>
        </w:rPr>
      </w:pPr>
      <w:r w:rsidRPr="00E24E89">
        <w:rPr>
          <w:rFonts w:ascii="Calibri" w:hAnsi="Calibri"/>
          <w:b/>
        </w:rPr>
        <w:t>Part II:</w:t>
      </w:r>
    </w:p>
    <w:p w14:paraId="598D6D91" w14:textId="77777777" w:rsidR="009D4C6F" w:rsidRDefault="009D4C6F" w:rsidP="009D4C6F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9D4C6F">
        <w:rPr>
          <w:rFonts w:ascii="Calibri" w:hAnsi="Calibri"/>
        </w:rPr>
        <w:t>What are the statements that make up the general set of financial statements?</w:t>
      </w:r>
    </w:p>
    <w:p w14:paraId="21B14232" w14:textId="00FA148C" w:rsidR="002604E6" w:rsidRDefault="002604E6" w:rsidP="00C977CE">
      <w:pPr>
        <w:rPr>
          <w:rFonts w:ascii="Calibri" w:hAnsi="Calibri"/>
        </w:rPr>
      </w:pPr>
    </w:p>
    <w:p w14:paraId="14F2E407" w14:textId="0B009362" w:rsidR="00C977CE" w:rsidRDefault="00C977CE" w:rsidP="00C977CE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C977CE">
        <w:rPr>
          <w:rFonts w:ascii="Calibri" w:hAnsi="Calibri"/>
        </w:rPr>
        <w:t>Statement of Income</w:t>
      </w:r>
      <w:r>
        <w:rPr>
          <w:rFonts w:ascii="Calibri" w:hAnsi="Calibri"/>
        </w:rPr>
        <w:t xml:space="preserve"> </w:t>
      </w:r>
    </w:p>
    <w:p w14:paraId="3022C150" w14:textId="4B14BAE2" w:rsidR="00C977CE" w:rsidRDefault="00C977CE" w:rsidP="00C977CE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Statement of Changes in Equity</w:t>
      </w:r>
    </w:p>
    <w:p w14:paraId="75526057" w14:textId="4DF6DE67" w:rsidR="00C977CE" w:rsidRDefault="00C977CE" w:rsidP="00C977CE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Statement of Financial Position</w:t>
      </w:r>
    </w:p>
    <w:p w14:paraId="12BEF87A" w14:textId="27F0774E" w:rsidR="00C977CE" w:rsidRDefault="00C977CE" w:rsidP="00C977CE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Statement of Cash Flows</w:t>
      </w:r>
    </w:p>
    <w:p w14:paraId="4F1DBF08" w14:textId="77777777" w:rsidR="00C977CE" w:rsidRPr="00C977CE" w:rsidRDefault="00C977CE" w:rsidP="00C977CE">
      <w:pPr>
        <w:pStyle w:val="ListParagraph"/>
        <w:rPr>
          <w:rFonts w:ascii="Calibri" w:hAnsi="Calibri"/>
        </w:rPr>
      </w:pPr>
    </w:p>
    <w:p w14:paraId="28454EEF" w14:textId="77777777" w:rsidR="009D4C6F" w:rsidRPr="009D4C6F" w:rsidRDefault="009D4C6F" w:rsidP="009D4C6F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9D4C6F">
        <w:rPr>
          <w:rFonts w:ascii="Calibri" w:hAnsi="Calibri"/>
        </w:rPr>
        <w:t>Provide two examples of the following</w:t>
      </w:r>
      <w:r>
        <w:rPr>
          <w:rFonts w:ascii="Calibri" w:hAnsi="Calibri"/>
        </w:rPr>
        <w:t xml:space="preserve"> and state if it is a cash inflow or outflow</w:t>
      </w:r>
      <w:r w:rsidRPr="009D4C6F">
        <w:rPr>
          <w:rFonts w:ascii="Calibri" w:hAnsi="Calibri"/>
        </w:rPr>
        <w:t>:</w:t>
      </w:r>
      <w:r w:rsidR="00C308C1">
        <w:rPr>
          <w:rFonts w:ascii="Calibri" w:hAnsi="Calibri"/>
        </w:rPr>
        <w:t xml:space="preserve"> </w:t>
      </w:r>
    </w:p>
    <w:p w14:paraId="05F1E757" w14:textId="14C6C9C8" w:rsidR="009D4C6F" w:rsidRDefault="009D4C6F" w:rsidP="009D4C6F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E962ED">
        <w:rPr>
          <w:rFonts w:ascii="Calibri" w:hAnsi="Calibri"/>
        </w:rPr>
        <w:t>Operating Activity</w:t>
      </w:r>
      <w:r w:rsidR="00E962ED" w:rsidRPr="00E962ED">
        <w:rPr>
          <w:rFonts w:ascii="Calibri" w:hAnsi="Calibri"/>
        </w:rPr>
        <w:t xml:space="preserve"> </w:t>
      </w:r>
    </w:p>
    <w:p w14:paraId="2937AE83" w14:textId="281A49F8" w:rsidR="00C977CE" w:rsidRDefault="00C977CE" w:rsidP="00C977CE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Sales and customer collections (inflow)</w:t>
      </w:r>
    </w:p>
    <w:p w14:paraId="13947049" w14:textId="74108440" w:rsidR="00C977CE" w:rsidRPr="00E962ED" w:rsidRDefault="00C977CE" w:rsidP="00C977CE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Payment of business expenses (outflow)</w:t>
      </w:r>
    </w:p>
    <w:p w14:paraId="2C44B725" w14:textId="38AE9079" w:rsidR="009D4C6F" w:rsidRDefault="009D4C6F" w:rsidP="009D4C6F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E962ED">
        <w:rPr>
          <w:rFonts w:ascii="Calibri" w:hAnsi="Calibri"/>
        </w:rPr>
        <w:t>Investing Activity</w:t>
      </w:r>
      <w:r w:rsidR="00C308C1" w:rsidRPr="00E962ED">
        <w:rPr>
          <w:rFonts w:ascii="Calibri" w:hAnsi="Calibri"/>
        </w:rPr>
        <w:t xml:space="preserve"> </w:t>
      </w:r>
    </w:p>
    <w:p w14:paraId="1BE94A4D" w14:textId="13DE78EE" w:rsidR="00C977CE" w:rsidRDefault="00C977CE" w:rsidP="00C977CE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Buying shares of other companies (outflow)</w:t>
      </w:r>
    </w:p>
    <w:p w14:paraId="58D1F5DC" w14:textId="2E01E432" w:rsidR="00C977CE" w:rsidRPr="00E962ED" w:rsidRDefault="00C977CE" w:rsidP="00C977CE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Selling PPE (inflow)</w:t>
      </w:r>
    </w:p>
    <w:p w14:paraId="19CBAB2D" w14:textId="199C1DC5" w:rsidR="00C977CE" w:rsidRDefault="009D4C6F" w:rsidP="00C977CE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E962ED">
        <w:rPr>
          <w:rFonts w:ascii="Calibri" w:hAnsi="Calibri"/>
        </w:rPr>
        <w:t>Financing Activity</w:t>
      </w:r>
    </w:p>
    <w:p w14:paraId="152ECC9C" w14:textId="52D4C0E8" w:rsidR="00C977CE" w:rsidRDefault="00C977CE" w:rsidP="00C977CE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Issuing Shares (inflow)</w:t>
      </w:r>
    </w:p>
    <w:p w14:paraId="46F9719A" w14:textId="55214A82" w:rsidR="00C977CE" w:rsidRPr="00C977CE" w:rsidRDefault="00C977CE" w:rsidP="00C977CE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Paying dividends on shares (outflow)</w:t>
      </w:r>
    </w:p>
    <w:p w14:paraId="2DC82A63" w14:textId="77777777" w:rsidR="009D4C6F" w:rsidRPr="009D4C6F" w:rsidRDefault="009D4C6F" w:rsidP="009D4C6F">
      <w:pPr>
        <w:pStyle w:val="ListParagraph"/>
        <w:ind w:left="1440"/>
        <w:rPr>
          <w:rFonts w:ascii="Calibri" w:hAnsi="Calibri"/>
          <w:b/>
        </w:rPr>
      </w:pPr>
    </w:p>
    <w:p w14:paraId="1D6B1403" w14:textId="58D3AD1F" w:rsidR="00303517" w:rsidRDefault="00303517" w:rsidP="0004527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9D4C6F">
        <w:rPr>
          <w:rFonts w:ascii="Calibri" w:hAnsi="Calibri"/>
        </w:rPr>
        <w:t>Please complete the following questions from your textbook</w:t>
      </w:r>
      <w:r w:rsidR="00BE0C60" w:rsidRPr="009D4C6F">
        <w:rPr>
          <w:rFonts w:ascii="Calibri" w:hAnsi="Calibri"/>
        </w:rPr>
        <w:t xml:space="preserve"> (found in the back of chapter 1</w:t>
      </w:r>
      <w:r w:rsidR="006B2DE2" w:rsidRPr="009D4C6F">
        <w:rPr>
          <w:rFonts w:ascii="Calibri" w:hAnsi="Calibri"/>
        </w:rPr>
        <w:t xml:space="preserve"> for those using the E-book this should be near the end of chapter 1 (Search Ten Peaks)</w:t>
      </w:r>
      <w:r w:rsidRPr="009D4C6F">
        <w:rPr>
          <w:rFonts w:ascii="Calibri" w:hAnsi="Calibri"/>
        </w:rPr>
        <w:t>)</w:t>
      </w:r>
    </w:p>
    <w:p w14:paraId="4BA554F5" w14:textId="77777777" w:rsidR="00F57B38" w:rsidRPr="00F57B38" w:rsidRDefault="00F57B38" w:rsidP="00F57B38">
      <w:pPr>
        <w:pStyle w:val="ListParagraph"/>
        <w:rPr>
          <w:rFonts w:ascii="Calibri" w:hAnsi="Calibri"/>
        </w:rPr>
      </w:pPr>
    </w:p>
    <w:p w14:paraId="79FC6936" w14:textId="7EC67C9E" w:rsidR="00F57B38" w:rsidRDefault="00C308C1" w:rsidP="00C308C1">
      <w:pPr>
        <w:rPr>
          <w:rFonts w:ascii="Calibri" w:hAnsi="Calibri"/>
        </w:rPr>
      </w:pPr>
      <w:r w:rsidRPr="005D0D91">
        <w:rPr>
          <w:rFonts w:ascii="Calibri" w:hAnsi="Calibri"/>
        </w:rPr>
        <w:t xml:space="preserve">RI1-3 </w:t>
      </w:r>
      <w:r>
        <w:rPr>
          <w:rFonts w:ascii="Calibri" w:hAnsi="Calibri"/>
        </w:rPr>
        <w:t>–</w:t>
      </w:r>
      <w:r w:rsidRPr="005D0D91">
        <w:rPr>
          <w:rFonts w:ascii="Calibri" w:hAnsi="Calibri"/>
        </w:rPr>
        <w:t xml:space="preserve"> Find</w:t>
      </w:r>
      <w:r>
        <w:rPr>
          <w:rFonts w:ascii="Calibri" w:hAnsi="Calibri"/>
        </w:rPr>
        <w:t xml:space="preserve"> the following amounts in the financial statements for Ten Peaks Coffee (Page 1-52 to 55):</w:t>
      </w:r>
    </w:p>
    <w:p w14:paraId="1FA7C2F8" w14:textId="77777777" w:rsidR="00F57B38" w:rsidRDefault="00F57B38" w:rsidP="00C308C1">
      <w:pPr>
        <w:rPr>
          <w:rFonts w:ascii="Calibri" w:hAnsi="Calibri"/>
        </w:rPr>
      </w:pPr>
    </w:p>
    <w:p w14:paraId="1DDFA087" w14:textId="77777777" w:rsidR="00A5007B" w:rsidRPr="00A5007B" w:rsidRDefault="00C308C1" w:rsidP="00A5007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A5007B">
        <w:rPr>
          <w:rFonts w:ascii="Calibri" w:hAnsi="Calibri"/>
          <w:color w:val="000000" w:themeColor="text1"/>
          <w:lang w:val="en-US"/>
        </w:rPr>
        <w:t xml:space="preserve">Total Sales for 2016 </w:t>
      </w:r>
      <w:r w:rsidR="00557D7D" w:rsidRPr="00A5007B">
        <w:rPr>
          <w:rFonts w:ascii="Calibri" w:hAnsi="Calibri"/>
          <w:color w:val="000000" w:themeColor="text1"/>
          <w:lang w:val="en-US"/>
        </w:rPr>
        <w:tab/>
      </w:r>
      <w:r w:rsidR="00557D7D" w:rsidRPr="00A5007B">
        <w:rPr>
          <w:rFonts w:ascii="Calibri" w:hAnsi="Calibri"/>
          <w:color w:val="000000" w:themeColor="text1"/>
          <w:lang w:val="en-US"/>
        </w:rPr>
        <w:tab/>
      </w:r>
    </w:p>
    <w:p w14:paraId="21E5D64E" w14:textId="77777777" w:rsidR="00ED7805" w:rsidRDefault="00A5007B" w:rsidP="00ED7805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 xml:space="preserve">2016 Balance: </w:t>
      </w:r>
      <w:r>
        <w:rPr>
          <w:rFonts w:ascii="Calibri" w:hAnsi="Calibri"/>
          <w:lang w:val="en-US"/>
        </w:rPr>
        <w:t xml:space="preserve"> </w:t>
      </w:r>
      <w:r w:rsidR="00557D7D" w:rsidRPr="00A5007B">
        <w:rPr>
          <w:rFonts w:ascii="Calibri" w:hAnsi="Calibri"/>
          <w:color w:val="000000" w:themeColor="text1"/>
          <w:lang w:val="en-US"/>
        </w:rPr>
        <w:t>$81,927</w:t>
      </w:r>
    </w:p>
    <w:p w14:paraId="13C916B6" w14:textId="0F064687" w:rsidR="00ED7805" w:rsidRPr="00F57B38" w:rsidRDefault="00ED7805" w:rsidP="00ED7805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ED7805">
        <w:rPr>
          <w:rFonts w:ascii="Calibri" w:hAnsi="Calibri"/>
          <w:lang w:val="en-US"/>
        </w:rPr>
        <w:t xml:space="preserve">This is </w:t>
      </w:r>
      <w:r w:rsidR="00F57B38" w:rsidRPr="00ED7805">
        <w:rPr>
          <w:rFonts w:ascii="Calibri" w:hAnsi="Calibri"/>
          <w:lang w:val="en-US"/>
        </w:rPr>
        <w:t>a</w:t>
      </w:r>
      <w:r w:rsidRPr="00ED7805">
        <w:rPr>
          <w:rFonts w:ascii="Calibri" w:hAnsi="Calibri"/>
          <w:lang w:val="en-US"/>
        </w:rPr>
        <w:t xml:space="preserve"> </w:t>
      </w:r>
      <w:r w:rsidR="00E73F3C">
        <w:rPr>
          <w:rFonts w:ascii="Calibri" w:hAnsi="Calibri"/>
          <w:lang w:val="en-US"/>
        </w:rPr>
        <w:t>revenue and</w:t>
      </w:r>
      <w:r w:rsidRPr="00ED7805">
        <w:rPr>
          <w:rFonts w:ascii="Calibri" w:hAnsi="Calibri"/>
          <w:lang w:val="en-US"/>
        </w:rPr>
        <w:t xml:space="preserve"> is found on</w:t>
      </w:r>
      <w:r w:rsidR="00F57B38">
        <w:rPr>
          <w:rFonts w:ascii="Calibri" w:hAnsi="Calibri"/>
          <w:lang w:val="en-US"/>
        </w:rPr>
        <w:t xml:space="preserve"> the </w:t>
      </w:r>
      <w:r w:rsidR="00F57B38" w:rsidRPr="00F57B38">
        <w:rPr>
          <w:rFonts w:ascii="Calibri" w:hAnsi="Calibri"/>
          <w:lang w:val="en-US"/>
        </w:rPr>
        <w:t>Ten Peaks Coﬀee Company Inc.’s 2016 Consolidated Statements of Income</w:t>
      </w:r>
      <w:r w:rsidRPr="00ED7805">
        <w:rPr>
          <w:rFonts w:ascii="Calibri" w:hAnsi="Calibri"/>
          <w:lang w:val="en-US"/>
        </w:rPr>
        <w:t xml:space="preserve"> </w:t>
      </w:r>
    </w:p>
    <w:p w14:paraId="7ECC7072" w14:textId="77777777" w:rsidR="00F57B38" w:rsidRPr="00ED7805" w:rsidRDefault="00F57B38" w:rsidP="00F57B38">
      <w:pPr>
        <w:pStyle w:val="ListParagraph"/>
        <w:spacing w:line="360" w:lineRule="auto"/>
        <w:ind w:left="1440"/>
        <w:rPr>
          <w:rFonts w:ascii="Calibri" w:hAnsi="Calibri"/>
          <w:color w:val="000000" w:themeColor="text1"/>
          <w:lang w:val="en-US"/>
        </w:rPr>
      </w:pPr>
    </w:p>
    <w:p w14:paraId="4C14ECE4" w14:textId="77777777" w:rsidR="00A5007B" w:rsidRPr="00A5007B" w:rsidRDefault="00C308C1" w:rsidP="00A5007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A5007B">
        <w:rPr>
          <w:rFonts w:ascii="Calibri" w:hAnsi="Calibri"/>
          <w:color w:val="000000" w:themeColor="text1"/>
          <w:lang w:val="en-US"/>
        </w:rPr>
        <w:t xml:space="preserve">Total Cost of Sales for </w:t>
      </w:r>
      <w:r w:rsidR="002A52A2" w:rsidRPr="00A5007B">
        <w:rPr>
          <w:rFonts w:ascii="Calibri" w:hAnsi="Calibri"/>
          <w:color w:val="000000" w:themeColor="text1"/>
          <w:lang w:val="en-US"/>
        </w:rPr>
        <w:t xml:space="preserve">2016 </w:t>
      </w:r>
      <w:r w:rsidR="002A52A2" w:rsidRPr="00A5007B">
        <w:rPr>
          <w:rFonts w:ascii="Calibri" w:hAnsi="Calibri"/>
          <w:color w:val="000000" w:themeColor="text1"/>
          <w:lang w:val="en-US"/>
        </w:rPr>
        <w:tab/>
      </w:r>
    </w:p>
    <w:p w14:paraId="023F37AD" w14:textId="4B402CA1" w:rsidR="00C308C1" w:rsidRDefault="00A5007B" w:rsidP="00A5007B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>2016 Balance: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 </w:t>
      </w:r>
      <w:r w:rsidR="00020E0D" w:rsidRPr="00A5007B">
        <w:rPr>
          <w:rFonts w:ascii="Calibri" w:hAnsi="Calibri"/>
          <w:color w:val="000000" w:themeColor="text1"/>
          <w:lang w:val="en-US"/>
        </w:rPr>
        <w:t>$</w:t>
      </w:r>
      <w:r w:rsidR="00020E0D" w:rsidRPr="00A5007B">
        <w:rPr>
          <w:rFonts w:ascii="Calibri" w:hAnsi="Calibri"/>
          <w:color w:val="000000" w:themeColor="text1"/>
          <w:lang w:val="en-US"/>
        </w:rPr>
        <w:t>69,877</w:t>
      </w:r>
    </w:p>
    <w:p w14:paraId="77FCE757" w14:textId="32B01529" w:rsidR="00F57B38" w:rsidRPr="00F57B38" w:rsidRDefault="00F57B38" w:rsidP="00F57B38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ED7805">
        <w:rPr>
          <w:rFonts w:ascii="Calibri" w:hAnsi="Calibri"/>
          <w:lang w:val="en-US"/>
        </w:rPr>
        <w:t xml:space="preserve">This is </w:t>
      </w:r>
      <w:r w:rsidRPr="00ED7805">
        <w:rPr>
          <w:rFonts w:ascii="Calibri" w:hAnsi="Calibri"/>
          <w:lang w:val="en-US"/>
        </w:rPr>
        <w:t>an</w:t>
      </w:r>
      <w:r w:rsidRPr="00ED780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expense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and</w:t>
      </w:r>
      <w:r w:rsidRPr="00ED7805">
        <w:rPr>
          <w:rFonts w:ascii="Calibri" w:hAnsi="Calibri"/>
          <w:lang w:val="en-US"/>
        </w:rPr>
        <w:t xml:space="preserve"> is found on</w:t>
      </w:r>
      <w:r>
        <w:rPr>
          <w:rFonts w:ascii="Calibri" w:hAnsi="Calibri"/>
          <w:lang w:val="en-US"/>
        </w:rPr>
        <w:t xml:space="preserve"> the </w:t>
      </w:r>
      <w:r w:rsidRPr="00F57B38">
        <w:rPr>
          <w:rFonts w:ascii="Calibri" w:hAnsi="Calibri"/>
          <w:lang w:val="en-US"/>
        </w:rPr>
        <w:t>Ten Peaks Coﬀee Company Inc.’s 2016 Consolidated Statements of Income</w:t>
      </w:r>
      <w:r w:rsidRPr="00ED7805">
        <w:rPr>
          <w:rFonts w:ascii="Calibri" w:hAnsi="Calibri"/>
          <w:lang w:val="en-US"/>
        </w:rPr>
        <w:t xml:space="preserve"> </w:t>
      </w:r>
    </w:p>
    <w:p w14:paraId="78840DF2" w14:textId="77777777" w:rsidR="00F57B38" w:rsidRPr="00F57B38" w:rsidRDefault="00F57B38" w:rsidP="00F57B38">
      <w:pPr>
        <w:pStyle w:val="ListParagraph"/>
        <w:spacing w:line="360" w:lineRule="auto"/>
        <w:ind w:left="1440"/>
        <w:rPr>
          <w:rFonts w:ascii="Calibri" w:hAnsi="Calibri"/>
          <w:color w:val="000000" w:themeColor="text1"/>
          <w:lang w:val="en-US"/>
        </w:rPr>
      </w:pPr>
    </w:p>
    <w:p w14:paraId="38D6BDC2" w14:textId="77777777" w:rsidR="00A5007B" w:rsidRPr="00A5007B" w:rsidRDefault="00C308C1" w:rsidP="00A5007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A5007B">
        <w:rPr>
          <w:rFonts w:ascii="Calibri" w:hAnsi="Calibri"/>
          <w:color w:val="000000" w:themeColor="text1"/>
          <w:lang w:val="en-US"/>
        </w:rPr>
        <w:lastRenderedPageBreak/>
        <w:t xml:space="preserve">Total Net income for 2016 </w:t>
      </w:r>
      <w:r w:rsidR="00347CFA" w:rsidRPr="00A5007B">
        <w:rPr>
          <w:rFonts w:ascii="Calibri" w:hAnsi="Calibri"/>
          <w:color w:val="000000" w:themeColor="text1"/>
          <w:lang w:val="en-US"/>
        </w:rPr>
        <w:tab/>
      </w:r>
    </w:p>
    <w:p w14:paraId="4E479F12" w14:textId="5596A02D" w:rsidR="00C308C1" w:rsidRDefault="00A5007B" w:rsidP="00A5007B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>2016 Balance: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 </w:t>
      </w:r>
      <w:r w:rsidR="00347CFA" w:rsidRPr="00A5007B">
        <w:rPr>
          <w:rFonts w:ascii="Calibri" w:hAnsi="Calibri"/>
          <w:color w:val="000000" w:themeColor="text1"/>
          <w:lang w:val="en-US"/>
        </w:rPr>
        <w:t>$4,149</w:t>
      </w:r>
    </w:p>
    <w:p w14:paraId="25504B22" w14:textId="02751CCA" w:rsidR="00964723" w:rsidRPr="00F57B38" w:rsidRDefault="00964723" w:rsidP="00964723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ED7805">
        <w:rPr>
          <w:rFonts w:ascii="Calibri" w:hAnsi="Calibri"/>
          <w:lang w:val="en-US"/>
        </w:rPr>
        <w:t xml:space="preserve">This is </w:t>
      </w:r>
      <w:r w:rsidR="00F13190" w:rsidRPr="00ED7805">
        <w:rPr>
          <w:rFonts w:ascii="Calibri" w:hAnsi="Calibri"/>
          <w:lang w:val="en-US"/>
        </w:rPr>
        <w:t>a</w:t>
      </w:r>
      <w:r w:rsidRPr="00ED7805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revenue</w:t>
      </w:r>
      <w:r>
        <w:rPr>
          <w:rFonts w:ascii="Calibri" w:hAnsi="Calibri"/>
          <w:lang w:val="en-US"/>
        </w:rPr>
        <w:t xml:space="preserve"> and</w:t>
      </w:r>
      <w:r w:rsidRPr="00ED7805">
        <w:rPr>
          <w:rFonts w:ascii="Calibri" w:hAnsi="Calibri"/>
          <w:lang w:val="en-US"/>
        </w:rPr>
        <w:t xml:space="preserve"> is found on</w:t>
      </w:r>
      <w:r>
        <w:rPr>
          <w:rFonts w:ascii="Calibri" w:hAnsi="Calibri"/>
          <w:lang w:val="en-US"/>
        </w:rPr>
        <w:t xml:space="preserve"> the </w:t>
      </w:r>
      <w:r w:rsidR="00FD2E09" w:rsidRPr="00FD2E09">
        <w:rPr>
          <w:rFonts w:ascii="Calibri" w:hAnsi="Calibri"/>
          <w:lang w:val="en-US"/>
        </w:rPr>
        <w:t>Ten Peaks Coﬀee Company Inc.’s 2016 Consolidated Statements of Income (continued)</w:t>
      </w:r>
    </w:p>
    <w:p w14:paraId="0E8BD3FD" w14:textId="77777777" w:rsidR="00964723" w:rsidRPr="00964723" w:rsidRDefault="00964723" w:rsidP="00964723">
      <w:pPr>
        <w:spacing w:line="360" w:lineRule="auto"/>
        <w:rPr>
          <w:rFonts w:ascii="Calibri" w:hAnsi="Calibri"/>
          <w:color w:val="000000" w:themeColor="text1"/>
          <w:lang w:val="en-US"/>
        </w:rPr>
      </w:pPr>
    </w:p>
    <w:p w14:paraId="5DBEAA45" w14:textId="77777777" w:rsidR="00A5007B" w:rsidRPr="00A5007B" w:rsidRDefault="00C308C1" w:rsidP="00A5007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A5007B">
        <w:rPr>
          <w:rFonts w:ascii="Calibri" w:hAnsi="Calibri"/>
          <w:color w:val="000000" w:themeColor="text1"/>
          <w:lang w:val="en-US"/>
        </w:rPr>
        <w:t xml:space="preserve">Total Inventory for 2016 </w:t>
      </w:r>
      <w:r w:rsidR="00955B08" w:rsidRPr="00A5007B">
        <w:rPr>
          <w:rFonts w:ascii="Calibri" w:hAnsi="Calibri"/>
          <w:color w:val="000000" w:themeColor="text1"/>
          <w:lang w:val="en-US"/>
        </w:rPr>
        <w:tab/>
      </w:r>
    </w:p>
    <w:p w14:paraId="2CAE4A5D" w14:textId="64149538" w:rsidR="00C308C1" w:rsidRDefault="00A5007B" w:rsidP="00A5007B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 xml:space="preserve">2016 Balance: </w:t>
      </w:r>
      <w:r>
        <w:rPr>
          <w:rFonts w:ascii="Calibri" w:hAnsi="Calibri"/>
          <w:lang w:val="en-US"/>
        </w:rPr>
        <w:t xml:space="preserve"> </w:t>
      </w:r>
      <w:r w:rsidR="00955B08" w:rsidRPr="00A5007B">
        <w:rPr>
          <w:rFonts w:ascii="Calibri" w:hAnsi="Calibri"/>
          <w:color w:val="000000" w:themeColor="text1"/>
          <w:lang w:val="en-US"/>
        </w:rPr>
        <w:t>$11,574</w:t>
      </w:r>
    </w:p>
    <w:p w14:paraId="04AD7597" w14:textId="6B800087" w:rsidR="00713F41" w:rsidRDefault="00713F41" w:rsidP="00A5007B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 xml:space="preserve">This is an asset and is found on the </w:t>
      </w:r>
      <w:r w:rsidRPr="00713F41">
        <w:rPr>
          <w:rFonts w:ascii="Calibri" w:hAnsi="Calibri"/>
          <w:lang w:val="en-US"/>
        </w:rPr>
        <w:t>Ten Peaks Coﬀee Company Inc.’s 2016 Consolidated Statements of Financial Position</w:t>
      </w:r>
    </w:p>
    <w:p w14:paraId="7828639E" w14:textId="77777777" w:rsidR="00A5007B" w:rsidRPr="00A5007B" w:rsidRDefault="00A5007B" w:rsidP="00A5007B">
      <w:pPr>
        <w:pStyle w:val="ListParagraph"/>
        <w:spacing w:line="360" w:lineRule="auto"/>
        <w:ind w:left="1440"/>
        <w:rPr>
          <w:rFonts w:ascii="Calibri" w:hAnsi="Calibri"/>
          <w:color w:val="000000" w:themeColor="text1"/>
          <w:lang w:val="en-US"/>
        </w:rPr>
      </w:pPr>
    </w:p>
    <w:p w14:paraId="1C3B8E8E" w14:textId="77777777" w:rsidR="00A5007B" w:rsidRPr="00A5007B" w:rsidRDefault="00C308C1" w:rsidP="00A5007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A5007B">
        <w:rPr>
          <w:rFonts w:ascii="Calibri" w:hAnsi="Calibri"/>
          <w:color w:val="000000" w:themeColor="text1"/>
          <w:lang w:val="en-US"/>
        </w:rPr>
        <w:t xml:space="preserve">Total Accounts Receivable for 2016 </w:t>
      </w:r>
      <w:r w:rsidR="00C22FB4" w:rsidRPr="00A5007B">
        <w:rPr>
          <w:rFonts w:ascii="Calibri" w:hAnsi="Calibri"/>
          <w:color w:val="000000" w:themeColor="text1"/>
          <w:lang w:val="en-US"/>
        </w:rPr>
        <w:tab/>
      </w:r>
    </w:p>
    <w:p w14:paraId="35678D94" w14:textId="4EF8B612" w:rsidR="00C308C1" w:rsidRDefault="00A5007B" w:rsidP="00A5007B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 xml:space="preserve">2016 Balance: </w:t>
      </w:r>
      <w:r>
        <w:rPr>
          <w:rFonts w:ascii="Calibri" w:hAnsi="Calibri"/>
          <w:lang w:val="en-US"/>
        </w:rPr>
        <w:t xml:space="preserve"> </w:t>
      </w:r>
      <w:r w:rsidR="00C22FB4" w:rsidRPr="00A5007B">
        <w:rPr>
          <w:rFonts w:ascii="Calibri" w:hAnsi="Calibri"/>
          <w:color w:val="000000" w:themeColor="text1"/>
          <w:lang w:val="en-US"/>
        </w:rPr>
        <w:t>$</w:t>
      </w:r>
      <w:r w:rsidR="00C22FB4" w:rsidRPr="00A5007B">
        <w:rPr>
          <w:rFonts w:ascii="Calibri" w:hAnsi="Calibri"/>
          <w:color w:val="000000" w:themeColor="text1"/>
          <w:lang w:val="en-US"/>
        </w:rPr>
        <w:t>11,707</w:t>
      </w:r>
    </w:p>
    <w:p w14:paraId="2ADFFDE0" w14:textId="34053BF5" w:rsidR="00713F41" w:rsidRDefault="00713F41" w:rsidP="00713F4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 xml:space="preserve">This is an asset and is found on </w:t>
      </w:r>
      <w:r w:rsidR="00F13190">
        <w:rPr>
          <w:rFonts w:ascii="Calibri" w:hAnsi="Calibri"/>
          <w:lang w:val="en-US"/>
        </w:rPr>
        <w:t>the</w:t>
      </w:r>
      <w:r w:rsidR="00F13190" w:rsidRPr="00D218CE">
        <w:rPr>
          <w:rFonts w:ascii="Calibri" w:hAnsi="Calibri"/>
          <w:lang w:val="en-US"/>
        </w:rPr>
        <w:t xml:space="preserve"> Ten</w:t>
      </w:r>
      <w:r w:rsidR="00D218CE" w:rsidRPr="00D218CE">
        <w:rPr>
          <w:rFonts w:ascii="Calibri" w:hAnsi="Calibri"/>
          <w:lang w:val="en-US"/>
        </w:rPr>
        <w:t xml:space="preserve"> Peaks Coﬀee Company Inc.’s 2016 Consolidated Statements of Financial Position</w:t>
      </w:r>
    </w:p>
    <w:p w14:paraId="366DBC5D" w14:textId="77777777" w:rsidR="00713F41" w:rsidRPr="00A5007B" w:rsidRDefault="00713F41" w:rsidP="00713F41">
      <w:pPr>
        <w:pStyle w:val="ListParagraph"/>
        <w:spacing w:line="360" w:lineRule="auto"/>
        <w:ind w:left="1440"/>
        <w:rPr>
          <w:rFonts w:ascii="Calibri" w:hAnsi="Calibri"/>
          <w:color w:val="000000" w:themeColor="text1"/>
          <w:lang w:val="en-US"/>
        </w:rPr>
      </w:pPr>
    </w:p>
    <w:p w14:paraId="15FCE797" w14:textId="77777777" w:rsidR="00A5007B" w:rsidRPr="00A5007B" w:rsidRDefault="00C308C1" w:rsidP="00A5007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 w:rsidRPr="00A5007B">
        <w:rPr>
          <w:rFonts w:ascii="Calibri" w:hAnsi="Calibri"/>
          <w:color w:val="000000" w:themeColor="text1"/>
          <w:lang w:val="en-US"/>
        </w:rPr>
        <w:t xml:space="preserve">Total Accounts Payable for 2016 </w:t>
      </w:r>
      <w:r w:rsidR="00BC0C10" w:rsidRPr="00A5007B">
        <w:rPr>
          <w:rFonts w:ascii="Calibri" w:hAnsi="Calibri"/>
          <w:color w:val="000000" w:themeColor="text1"/>
          <w:lang w:val="en-US"/>
        </w:rPr>
        <w:tab/>
      </w:r>
    </w:p>
    <w:p w14:paraId="3E038F58" w14:textId="581CACC0" w:rsidR="00C308C1" w:rsidRDefault="00A5007B" w:rsidP="00A5007B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>2016 Balance: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 </w:t>
      </w:r>
      <w:r w:rsidR="00BC0C10" w:rsidRPr="00A5007B">
        <w:rPr>
          <w:rFonts w:ascii="Calibri" w:hAnsi="Calibri"/>
          <w:color w:val="000000" w:themeColor="text1"/>
          <w:lang w:val="en-US"/>
        </w:rPr>
        <w:t>$</w:t>
      </w:r>
      <w:r w:rsidR="00BC0C10" w:rsidRPr="00A5007B">
        <w:rPr>
          <w:rFonts w:ascii="Calibri" w:hAnsi="Calibri"/>
          <w:color w:val="000000" w:themeColor="text1"/>
          <w:lang w:val="en-US"/>
        </w:rPr>
        <w:t>2,797</w:t>
      </w:r>
    </w:p>
    <w:p w14:paraId="5F1C38BC" w14:textId="0D4220CC" w:rsidR="00D218CE" w:rsidRPr="00D218CE" w:rsidRDefault="00D218CE" w:rsidP="00D218CE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lang w:val="en-US"/>
        </w:rPr>
        <w:t xml:space="preserve">This is </w:t>
      </w:r>
      <w:r w:rsidR="00F13190">
        <w:rPr>
          <w:rFonts w:ascii="Calibri" w:hAnsi="Calibri"/>
          <w:lang w:val="en-US"/>
        </w:rPr>
        <w:t>a</w:t>
      </w:r>
      <w:r>
        <w:rPr>
          <w:rFonts w:ascii="Calibri" w:hAnsi="Calibri"/>
          <w:lang w:val="en-US"/>
        </w:rPr>
        <w:t xml:space="preserve"> </w:t>
      </w:r>
      <w:r w:rsidR="00F13190">
        <w:rPr>
          <w:rFonts w:ascii="Calibri" w:hAnsi="Calibri"/>
          <w:lang w:val="en-US"/>
        </w:rPr>
        <w:t>liability</w:t>
      </w:r>
      <w:r>
        <w:rPr>
          <w:rFonts w:ascii="Calibri" w:hAnsi="Calibri"/>
          <w:lang w:val="en-US"/>
        </w:rPr>
        <w:t xml:space="preserve"> and is found on </w:t>
      </w:r>
      <w:r w:rsidR="00F13190">
        <w:rPr>
          <w:rFonts w:ascii="Calibri" w:hAnsi="Calibri"/>
          <w:lang w:val="en-US"/>
        </w:rPr>
        <w:t xml:space="preserve">the </w:t>
      </w:r>
      <w:r w:rsidR="00F13190" w:rsidRPr="00F13190">
        <w:rPr>
          <w:rFonts w:ascii="Calibri" w:hAnsi="Calibri"/>
          <w:lang w:val="en-US"/>
        </w:rPr>
        <w:t>Ten Peaks Coﬀee Company Inc.’s 2016 Consolidated Statements of Financial Position</w:t>
      </w:r>
    </w:p>
    <w:p w14:paraId="299EF46B" w14:textId="77777777" w:rsidR="00C308C1" w:rsidRDefault="00C308C1" w:rsidP="00C308C1">
      <w:pPr>
        <w:rPr>
          <w:rFonts w:ascii="Calibri" w:hAnsi="Calibri"/>
          <w:lang w:val="en-US"/>
        </w:rPr>
      </w:pPr>
    </w:p>
    <w:p w14:paraId="5213715B" w14:textId="77777777" w:rsidR="00C308C1" w:rsidRDefault="00C308C1" w:rsidP="00C308C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each account above, explain what the balance represents, including whether it is an asset, liability, revenue, or expense. </w:t>
      </w:r>
    </w:p>
    <w:p w14:paraId="0FF53175" w14:textId="7AB2C616" w:rsidR="00C308C1" w:rsidRDefault="00C308C1" w:rsidP="00C308C1">
      <w:pPr>
        <w:rPr>
          <w:rFonts w:ascii="Calibri" w:hAnsi="Calibri"/>
          <w:lang w:val="en-US"/>
        </w:rPr>
      </w:pPr>
    </w:p>
    <w:p w14:paraId="376626DD" w14:textId="77777777" w:rsidR="00F13190" w:rsidRDefault="00F13190" w:rsidP="00C308C1">
      <w:pPr>
        <w:rPr>
          <w:rFonts w:ascii="Calibri" w:hAnsi="Calibri"/>
          <w:lang w:val="en-US"/>
        </w:rPr>
      </w:pPr>
      <w:bookmarkStart w:id="0" w:name="_GoBack"/>
      <w:bookmarkEnd w:id="0"/>
    </w:p>
    <w:p w14:paraId="4C770FDF" w14:textId="77777777" w:rsidR="00C308C1" w:rsidRPr="001B3EC0" w:rsidRDefault="00C308C1" w:rsidP="00C308C1">
      <w:pPr>
        <w:rPr>
          <w:rFonts w:ascii="Calibri" w:hAnsi="Calibri"/>
          <w:b/>
          <w:lang w:val="en-US"/>
        </w:rPr>
      </w:pPr>
      <w:r w:rsidRPr="001B3EC0">
        <w:rPr>
          <w:rFonts w:ascii="Calibri" w:hAnsi="Calibri"/>
          <w:b/>
          <w:lang w:val="en-US"/>
        </w:rPr>
        <w:t>Part III:</w:t>
      </w:r>
    </w:p>
    <w:p w14:paraId="0EA8CAF6" w14:textId="6D451D53" w:rsidR="00C308C1" w:rsidRDefault="00C308C1" w:rsidP="00C308C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Looking at Ten Peaks Coffee’s financial statements which was a better year 2015 or 2016?</w:t>
      </w:r>
    </w:p>
    <w:p w14:paraId="0F82E068" w14:textId="2AE7B4F3" w:rsidR="009A5545" w:rsidRDefault="009A5545" w:rsidP="00C308C1">
      <w:pPr>
        <w:rPr>
          <w:rFonts w:ascii="Calibri" w:hAnsi="Calibri"/>
          <w:lang w:val="en-US"/>
        </w:rPr>
      </w:pPr>
    </w:p>
    <w:p w14:paraId="1615867A" w14:textId="7055D41E" w:rsidR="009A5545" w:rsidRDefault="00A54BD3" w:rsidP="00DE4FEA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Looking at both the financial statements for 2015 and 2016, the business Ten Peaks Coffee demonstrated a larger growth of net </w:t>
      </w:r>
      <w:r w:rsidR="002111E9">
        <w:rPr>
          <w:rFonts w:ascii="Calibri" w:hAnsi="Calibri"/>
          <w:lang w:val="en-US"/>
        </w:rPr>
        <w:t xml:space="preserve">income and net cash growth from </w:t>
      </w:r>
      <w:r w:rsidR="00636F49">
        <w:rPr>
          <w:rFonts w:ascii="Calibri" w:hAnsi="Calibri"/>
          <w:lang w:val="en-US"/>
        </w:rPr>
        <w:t>operating</w:t>
      </w:r>
      <w:r w:rsidR="002111E9">
        <w:rPr>
          <w:rFonts w:ascii="Calibri" w:hAnsi="Calibri"/>
          <w:lang w:val="en-US"/>
        </w:rPr>
        <w:t xml:space="preserve"> activities. </w:t>
      </w:r>
      <w:r w:rsidR="00DE4FEA">
        <w:rPr>
          <w:rFonts w:ascii="Calibri" w:hAnsi="Calibri"/>
          <w:lang w:val="en-US"/>
        </w:rPr>
        <w:t>Consequently</w:t>
      </w:r>
      <w:r w:rsidR="002111E9">
        <w:rPr>
          <w:rFonts w:ascii="Calibri" w:hAnsi="Calibri"/>
          <w:lang w:val="en-US"/>
        </w:rPr>
        <w:t xml:space="preserve">, I believe that 2016 was a better year for this company. </w:t>
      </w:r>
      <w:r w:rsidR="00DE4FEA">
        <w:rPr>
          <w:rFonts w:ascii="Calibri" w:hAnsi="Calibri"/>
          <w:lang w:val="en-US"/>
        </w:rPr>
        <w:t>Furthermore</w:t>
      </w:r>
      <w:r w:rsidR="002111E9">
        <w:rPr>
          <w:rFonts w:ascii="Calibri" w:hAnsi="Calibri"/>
          <w:lang w:val="en-US"/>
        </w:rPr>
        <w:t xml:space="preserve">, </w:t>
      </w:r>
      <w:r w:rsidR="00376CD5">
        <w:rPr>
          <w:rFonts w:ascii="Calibri" w:hAnsi="Calibri"/>
          <w:lang w:val="en-US"/>
        </w:rPr>
        <w:t xml:space="preserve">Ten Peaks had a growth in their liquid assets, with the plant and equipment assets </w:t>
      </w:r>
      <w:r w:rsidR="00636F49">
        <w:rPr>
          <w:rFonts w:ascii="Calibri" w:hAnsi="Calibri"/>
          <w:lang w:val="en-US"/>
        </w:rPr>
        <w:t>as well as their short investment substantially increasing in 2016.</w:t>
      </w:r>
      <w:r w:rsidR="007206A0">
        <w:rPr>
          <w:rFonts w:ascii="Calibri" w:hAnsi="Calibri"/>
          <w:lang w:val="en-US"/>
        </w:rPr>
        <w:t xml:space="preserve"> </w:t>
      </w:r>
      <w:r w:rsidR="00FF6927">
        <w:rPr>
          <w:rFonts w:ascii="Calibri" w:hAnsi="Calibri"/>
          <w:lang w:val="en-US"/>
        </w:rPr>
        <w:t xml:space="preserve">In 2015, </w:t>
      </w:r>
      <w:r w:rsidR="000B3AEE">
        <w:rPr>
          <w:rFonts w:ascii="Calibri" w:hAnsi="Calibri"/>
          <w:lang w:val="en-US"/>
        </w:rPr>
        <w:t xml:space="preserve">while the net increase of </w:t>
      </w:r>
      <w:r w:rsidR="00B741A3">
        <w:rPr>
          <w:rFonts w:ascii="Calibri" w:hAnsi="Calibri"/>
          <w:lang w:val="en-US"/>
        </w:rPr>
        <w:t>cash and cash equivalent was much larger than 2016, the company’s overall cash and cash equivalents suffered from</w:t>
      </w:r>
      <w:r w:rsidR="00FF6927">
        <w:rPr>
          <w:rFonts w:ascii="Calibri" w:hAnsi="Calibri"/>
          <w:lang w:val="en-US"/>
        </w:rPr>
        <w:t xml:space="preserve"> the repayment of bank indebt</w:t>
      </w:r>
      <w:r w:rsidR="00A469F2">
        <w:rPr>
          <w:rFonts w:ascii="Calibri" w:hAnsi="Calibri"/>
          <w:lang w:val="en-US"/>
        </w:rPr>
        <w:t>ed</w:t>
      </w:r>
      <w:r w:rsidR="00FF6927">
        <w:rPr>
          <w:rFonts w:ascii="Calibri" w:hAnsi="Calibri"/>
          <w:lang w:val="en-US"/>
        </w:rPr>
        <w:t xml:space="preserve">ness of </w:t>
      </w:r>
      <w:r w:rsidR="00E90465">
        <w:rPr>
          <w:rFonts w:ascii="Calibri" w:hAnsi="Calibri"/>
          <w:lang w:val="en-US"/>
        </w:rPr>
        <w:t>$</w:t>
      </w:r>
      <w:r w:rsidR="00E90465" w:rsidRPr="00E90465">
        <w:rPr>
          <w:rFonts w:ascii="Calibri" w:hAnsi="Calibri"/>
          <w:lang w:val="en-US"/>
        </w:rPr>
        <w:t>8,753</w:t>
      </w:r>
      <w:r w:rsidR="00B741A3">
        <w:rPr>
          <w:rFonts w:ascii="Calibri" w:hAnsi="Calibri"/>
          <w:lang w:val="en-US"/>
        </w:rPr>
        <w:t>.</w:t>
      </w:r>
      <w:r w:rsidR="00E90465">
        <w:rPr>
          <w:rFonts w:ascii="Calibri" w:hAnsi="Calibri"/>
          <w:lang w:val="en-US"/>
        </w:rPr>
        <w:t xml:space="preserve"> </w:t>
      </w:r>
      <w:r w:rsidR="00A469F2" w:rsidRPr="00E90465">
        <w:rPr>
          <w:rFonts w:ascii="Calibri" w:hAnsi="Calibri"/>
          <w:lang w:val="en-US"/>
        </w:rPr>
        <w:t>These</w:t>
      </w:r>
      <w:r w:rsidR="00A379E0">
        <w:rPr>
          <w:rFonts w:ascii="Calibri" w:hAnsi="Calibri"/>
          <w:lang w:val="en-US"/>
        </w:rPr>
        <w:t xml:space="preserve"> financial statements</w:t>
      </w:r>
      <w:r w:rsidR="007206A0">
        <w:rPr>
          <w:rFonts w:ascii="Calibri" w:hAnsi="Calibri"/>
          <w:lang w:val="en-US"/>
        </w:rPr>
        <w:t xml:space="preserve"> would lead me to believe </w:t>
      </w:r>
      <w:r w:rsidR="00740AE2">
        <w:rPr>
          <w:rFonts w:ascii="Calibri" w:hAnsi="Calibri"/>
          <w:lang w:val="en-US"/>
        </w:rPr>
        <w:t>the company has a better year in 2016 rather than 2015.</w:t>
      </w:r>
    </w:p>
    <w:sectPr w:rsidR="009A5545" w:rsidSect="00995F8A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89E"/>
    <w:multiLevelType w:val="hybridMultilevel"/>
    <w:tmpl w:val="F5D81780"/>
    <w:lvl w:ilvl="0" w:tplc="4D1A54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45D"/>
    <w:multiLevelType w:val="hybridMultilevel"/>
    <w:tmpl w:val="99CC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507D"/>
    <w:multiLevelType w:val="hybridMultilevel"/>
    <w:tmpl w:val="8F66B2F4"/>
    <w:lvl w:ilvl="0" w:tplc="227EC8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5D63"/>
    <w:multiLevelType w:val="hybridMultilevel"/>
    <w:tmpl w:val="B35090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543A2C"/>
    <w:multiLevelType w:val="hybridMultilevel"/>
    <w:tmpl w:val="C1A09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4FC"/>
    <w:multiLevelType w:val="hybridMultilevel"/>
    <w:tmpl w:val="4D82E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F13441"/>
    <w:multiLevelType w:val="hybridMultilevel"/>
    <w:tmpl w:val="17A6C2EC"/>
    <w:lvl w:ilvl="0" w:tplc="603AE55A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D9420DF"/>
    <w:multiLevelType w:val="hybridMultilevel"/>
    <w:tmpl w:val="A29E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86B10"/>
    <w:multiLevelType w:val="multilevel"/>
    <w:tmpl w:val="D354FE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0890A74"/>
    <w:multiLevelType w:val="hybridMultilevel"/>
    <w:tmpl w:val="567C48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581FB6"/>
    <w:multiLevelType w:val="hybridMultilevel"/>
    <w:tmpl w:val="95D0CC9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330ADE"/>
    <w:multiLevelType w:val="hybridMultilevel"/>
    <w:tmpl w:val="25BA94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6B"/>
    <w:rsid w:val="00020E0D"/>
    <w:rsid w:val="000255E7"/>
    <w:rsid w:val="00045271"/>
    <w:rsid w:val="00066057"/>
    <w:rsid w:val="00067EDF"/>
    <w:rsid w:val="000B3A1B"/>
    <w:rsid w:val="000B3AEE"/>
    <w:rsid w:val="000E2612"/>
    <w:rsid w:val="000F322A"/>
    <w:rsid w:val="00130BB5"/>
    <w:rsid w:val="00133413"/>
    <w:rsid w:val="001541A9"/>
    <w:rsid w:val="00161629"/>
    <w:rsid w:val="00186E0C"/>
    <w:rsid w:val="00187965"/>
    <w:rsid w:val="001A435E"/>
    <w:rsid w:val="001B3EC0"/>
    <w:rsid w:val="001F0A6D"/>
    <w:rsid w:val="00203FD7"/>
    <w:rsid w:val="002111E9"/>
    <w:rsid w:val="0022049A"/>
    <w:rsid w:val="002229AB"/>
    <w:rsid w:val="002604E6"/>
    <w:rsid w:val="00273ECD"/>
    <w:rsid w:val="00291067"/>
    <w:rsid w:val="002A52A2"/>
    <w:rsid w:val="002B74D9"/>
    <w:rsid w:val="002D0B50"/>
    <w:rsid w:val="002E26C8"/>
    <w:rsid w:val="002F3F22"/>
    <w:rsid w:val="00301B29"/>
    <w:rsid w:val="00303517"/>
    <w:rsid w:val="00347CFA"/>
    <w:rsid w:val="00376CD5"/>
    <w:rsid w:val="0037726A"/>
    <w:rsid w:val="003839C0"/>
    <w:rsid w:val="003A3B51"/>
    <w:rsid w:val="003A4C05"/>
    <w:rsid w:val="003F2405"/>
    <w:rsid w:val="004172D0"/>
    <w:rsid w:val="0042023A"/>
    <w:rsid w:val="00423279"/>
    <w:rsid w:val="00430674"/>
    <w:rsid w:val="004E5D6C"/>
    <w:rsid w:val="004F6634"/>
    <w:rsid w:val="005130B4"/>
    <w:rsid w:val="00557D7D"/>
    <w:rsid w:val="00560D7C"/>
    <w:rsid w:val="00577DBE"/>
    <w:rsid w:val="00583C46"/>
    <w:rsid w:val="00583F53"/>
    <w:rsid w:val="005A1290"/>
    <w:rsid w:val="005D0D91"/>
    <w:rsid w:val="00604B64"/>
    <w:rsid w:val="006232FA"/>
    <w:rsid w:val="00636F49"/>
    <w:rsid w:val="00641EE4"/>
    <w:rsid w:val="00654BD4"/>
    <w:rsid w:val="006640C6"/>
    <w:rsid w:val="00685F15"/>
    <w:rsid w:val="00690770"/>
    <w:rsid w:val="006B2DE2"/>
    <w:rsid w:val="006C202C"/>
    <w:rsid w:val="006C7660"/>
    <w:rsid w:val="006C7685"/>
    <w:rsid w:val="006F2705"/>
    <w:rsid w:val="006F36BE"/>
    <w:rsid w:val="00713F41"/>
    <w:rsid w:val="007206A0"/>
    <w:rsid w:val="00730B04"/>
    <w:rsid w:val="00740AE2"/>
    <w:rsid w:val="007653EE"/>
    <w:rsid w:val="007A47D3"/>
    <w:rsid w:val="007B0FFE"/>
    <w:rsid w:val="007B7457"/>
    <w:rsid w:val="007F5920"/>
    <w:rsid w:val="00815704"/>
    <w:rsid w:val="0084277D"/>
    <w:rsid w:val="008651F6"/>
    <w:rsid w:val="00877034"/>
    <w:rsid w:val="008B2A53"/>
    <w:rsid w:val="008F74B6"/>
    <w:rsid w:val="00907F00"/>
    <w:rsid w:val="00913B9A"/>
    <w:rsid w:val="00955B08"/>
    <w:rsid w:val="00964723"/>
    <w:rsid w:val="00987BAE"/>
    <w:rsid w:val="00995F8A"/>
    <w:rsid w:val="009A5545"/>
    <w:rsid w:val="009D4C6F"/>
    <w:rsid w:val="00A04FE4"/>
    <w:rsid w:val="00A27FF9"/>
    <w:rsid w:val="00A379E0"/>
    <w:rsid w:val="00A40490"/>
    <w:rsid w:val="00A4330D"/>
    <w:rsid w:val="00A469F2"/>
    <w:rsid w:val="00A5007B"/>
    <w:rsid w:val="00A53FAC"/>
    <w:rsid w:val="00A54BD3"/>
    <w:rsid w:val="00A8729C"/>
    <w:rsid w:val="00AA0F13"/>
    <w:rsid w:val="00AA36F4"/>
    <w:rsid w:val="00AB2F61"/>
    <w:rsid w:val="00AB69DF"/>
    <w:rsid w:val="00AB6AB6"/>
    <w:rsid w:val="00AD099D"/>
    <w:rsid w:val="00AE3E16"/>
    <w:rsid w:val="00B2083C"/>
    <w:rsid w:val="00B20AA1"/>
    <w:rsid w:val="00B4004F"/>
    <w:rsid w:val="00B741A3"/>
    <w:rsid w:val="00B850E4"/>
    <w:rsid w:val="00B9316F"/>
    <w:rsid w:val="00B9392A"/>
    <w:rsid w:val="00B97AE4"/>
    <w:rsid w:val="00BC0C10"/>
    <w:rsid w:val="00BC60E6"/>
    <w:rsid w:val="00BD7856"/>
    <w:rsid w:val="00BE0C60"/>
    <w:rsid w:val="00BF3D9D"/>
    <w:rsid w:val="00C01E9C"/>
    <w:rsid w:val="00C040CE"/>
    <w:rsid w:val="00C04F0E"/>
    <w:rsid w:val="00C05AA5"/>
    <w:rsid w:val="00C22FB4"/>
    <w:rsid w:val="00C308C1"/>
    <w:rsid w:val="00C36694"/>
    <w:rsid w:val="00C4634F"/>
    <w:rsid w:val="00C5796A"/>
    <w:rsid w:val="00C872CB"/>
    <w:rsid w:val="00C95725"/>
    <w:rsid w:val="00C977CE"/>
    <w:rsid w:val="00CB2A11"/>
    <w:rsid w:val="00CD2C62"/>
    <w:rsid w:val="00D0136B"/>
    <w:rsid w:val="00D03956"/>
    <w:rsid w:val="00D218CE"/>
    <w:rsid w:val="00D23394"/>
    <w:rsid w:val="00D92C51"/>
    <w:rsid w:val="00DB4874"/>
    <w:rsid w:val="00DE4FEA"/>
    <w:rsid w:val="00DE7F19"/>
    <w:rsid w:val="00DF4204"/>
    <w:rsid w:val="00E0357F"/>
    <w:rsid w:val="00E20510"/>
    <w:rsid w:val="00E24E89"/>
    <w:rsid w:val="00E622F5"/>
    <w:rsid w:val="00E718EF"/>
    <w:rsid w:val="00E73F3C"/>
    <w:rsid w:val="00E87A1E"/>
    <w:rsid w:val="00E90465"/>
    <w:rsid w:val="00E962ED"/>
    <w:rsid w:val="00ED7805"/>
    <w:rsid w:val="00EE3D91"/>
    <w:rsid w:val="00F13190"/>
    <w:rsid w:val="00F26D0E"/>
    <w:rsid w:val="00F31416"/>
    <w:rsid w:val="00F34A2D"/>
    <w:rsid w:val="00F45458"/>
    <w:rsid w:val="00F5570B"/>
    <w:rsid w:val="00F57B38"/>
    <w:rsid w:val="00F85970"/>
    <w:rsid w:val="00FA6303"/>
    <w:rsid w:val="00FB27E1"/>
    <w:rsid w:val="00FC4EC1"/>
    <w:rsid w:val="00FD0194"/>
    <w:rsid w:val="00FD2E09"/>
    <w:rsid w:val="00F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D068F"/>
  <w15:docId w15:val="{2D748F11-F83D-41DC-B1F9-13689428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136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0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705"/>
    <w:pPr>
      <w:ind w:left="720"/>
      <w:contextualSpacing/>
    </w:pPr>
  </w:style>
  <w:style w:type="character" w:styleId="CommentReference">
    <w:name w:val="annotation reference"/>
    <w:basedOn w:val="DefaultParagraphFont"/>
    <w:rsid w:val="00273E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3E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3E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7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3ECD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273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ECD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30BB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63E2-BCA2-4C65-B0FB-9D0DA787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Face-to-Face</vt:lpstr>
    </vt:vector>
  </TitlesOfParts>
  <Company>Cancer Care Ontario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Face-to-Face</dc:title>
  <dc:creator>John Friedlan</dc:creator>
  <cp:lastModifiedBy>Jonathan Narine</cp:lastModifiedBy>
  <cp:revision>48</cp:revision>
  <cp:lastPrinted>2019-09-16T18:02:00Z</cp:lastPrinted>
  <dcterms:created xsi:type="dcterms:W3CDTF">2020-01-10T19:58:00Z</dcterms:created>
  <dcterms:modified xsi:type="dcterms:W3CDTF">2020-01-12T22:50:00Z</dcterms:modified>
</cp:coreProperties>
</file>