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BA10" w14:textId="3CCAB6A0" w:rsidR="00FC0817" w:rsidRDefault="00CC3969">
      <w:pPr>
        <w:spacing w:after="60" w:line="240" w:lineRule="auto"/>
        <w:ind w:hanging="446"/>
        <w:jc w:val="center"/>
      </w:pPr>
      <w:r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>T0</w:t>
      </w:r>
      <w:r w:rsidR="0023412F"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>2</w:t>
      </w:r>
      <w:r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 xml:space="preserve"> – Weekly Report</w:t>
      </w:r>
    </w:p>
    <w:p w14:paraId="69AAD938" w14:textId="77777777" w:rsidR="00FC0817" w:rsidRDefault="00CC3969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Team Name: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BluSh3ll</w:t>
      </w:r>
    </w:p>
    <w:p w14:paraId="5A5C1847" w14:textId="79106CCE" w:rsidR="00FC0817" w:rsidRDefault="00CC3969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Team Members: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Mitchell Palmer, Hunter Rowlette, Andrew Chapin, Andre He</w:t>
      </w:r>
      <w:r w:rsidR="0023412F">
        <w:rPr>
          <w:rFonts w:ascii="Arial Narrow" w:eastAsia="Times New Roman" w:hAnsi="Arial Narrow" w:cs="Times New Roman"/>
          <w:sz w:val="20"/>
          <w:szCs w:val="20"/>
        </w:rPr>
        <w:t>rrer</w:t>
      </w:r>
      <w:r>
        <w:rPr>
          <w:rFonts w:ascii="Arial Narrow" w:eastAsia="Times New Roman" w:hAnsi="Arial Narrow" w:cs="Times New Roman"/>
          <w:sz w:val="20"/>
          <w:szCs w:val="20"/>
        </w:rPr>
        <w:t>a, Carl Bai</w:t>
      </w:r>
    </w:p>
    <w:p w14:paraId="1A1C3AF4" w14:textId="2233FBE1" w:rsidR="00FC0817" w:rsidRDefault="00CC3969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Weekly Leader: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</w:t>
      </w:r>
      <w:r w:rsidR="0023412F" w:rsidRPr="0023412F">
        <w:rPr>
          <w:rFonts w:ascii="Arial Narrow" w:eastAsia="Times New Roman" w:hAnsi="Arial Narrow" w:cs="Times New Roman"/>
          <w:sz w:val="20"/>
          <w:szCs w:val="20"/>
        </w:rPr>
        <w:t>Andre Herrera</w:t>
      </w:r>
    </w:p>
    <w:p w14:paraId="480E7057" w14:textId="77777777" w:rsidR="00FC0817" w:rsidRDefault="00FC0817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6CF8A14E" w14:textId="77777777" w:rsidR="00FC0817" w:rsidRDefault="00CC3969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Accomplishments/Activities/Meetings:</w:t>
      </w:r>
    </w:p>
    <w:p w14:paraId="1951162A" w14:textId="0FF7B497" w:rsidR="00FC0817" w:rsidRDefault="0023412F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Met with GMU Mentor to update on current schedule</w:t>
      </w:r>
    </w:p>
    <w:p w14:paraId="6B580235" w14:textId="0C343D8A" w:rsidR="00FC0817" w:rsidRDefault="0023412F" w:rsidP="0023412F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Conference call with SME to inform them on technical changes and current situation</w:t>
      </w:r>
    </w:p>
    <w:p w14:paraId="4B298C1B" w14:textId="05901487" w:rsidR="0023412F" w:rsidRPr="0023412F" w:rsidRDefault="0023412F" w:rsidP="0023412F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Determined config file is no longer necessary</w:t>
      </w:r>
    </w:p>
    <w:p w14:paraId="03F74BBD" w14:textId="77777777" w:rsidR="00FC0817" w:rsidRDefault="00FC0817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4121352D" w14:textId="77777777" w:rsidR="00FC0817" w:rsidRDefault="00CC3969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Issues:</w:t>
      </w:r>
    </w:p>
    <w:p w14:paraId="3201DCEF" w14:textId="231EDE47" w:rsidR="00FC0817" w:rsidRDefault="00F72E3A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Still struggling to determine the best way to balance the workload</w:t>
      </w:r>
    </w:p>
    <w:p w14:paraId="7242105F" w14:textId="508CB9D7" w:rsidR="00F62943" w:rsidRDefault="00F62943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Ran into some coding bugs</w:t>
      </w:r>
    </w:p>
    <w:p w14:paraId="0C8591A6" w14:textId="77777777" w:rsidR="00FC0817" w:rsidRDefault="00FC0817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7B313217" w14:textId="77777777" w:rsidR="00FC0817" w:rsidRDefault="00CC3969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Open Action Items:</w:t>
      </w:r>
    </w:p>
    <w:p w14:paraId="3BA2FF7C" w14:textId="22224E85" w:rsidR="00FC0817" w:rsidRPr="00546216" w:rsidRDefault="00546216" w:rsidP="00546216">
      <w:pPr>
        <w:pStyle w:val="ListParagraph"/>
        <w:numPr>
          <w:ilvl w:val="0"/>
          <w:numId w:val="4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 w:rsidRPr="00546216">
        <w:rPr>
          <w:rFonts w:ascii="Arial Narrow" w:eastAsia="Times New Roman" w:hAnsi="Arial Narrow" w:cs="Times New Roman"/>
          <w:sz w:val="20"/>
          <w:szCs w:val="20"/>
        </w:rPr>
        <w:t>Finish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CLI, continued development of networking environment</w:t>
      </w:r>
    </w:p>
    <w:p w14:paraId="77301781" w14:textId="77777777" w:rsidR="00FC0817" w:rsidRDefault="00CC3969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Plans for Next Week:</w:t>
      </w:r>
    </w:p>
    <w:p w14:paraId="7DC534FA" w14:textId="6356F5CE" w:rsidR="00FC0817" w:rsidRDefault="0023412F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Reassess distribution of workload</w:t>
      </w:r>
    </w:p>
    <w:p w14:paraId="118E4C1D" w14:textId="77777777" w:rsidR="00FC0817" w:rsidRDefault="00FC0817">
      <w:pPr>
        <w:spacing w:after="60" w:line="240" w:lineRule="auto"/>
        <w:ind w:left="-450"/>
        <w:jc w:val="both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1B0AC097" w14:textId="77777777" w:rsidR="00FC0817" w:rsidRDefault="00CC3969">
      <w:pPr>
        <w:spacing w:after="60" w:line="240" w:lineRule="auto"/>
        <w:ind w:left="-450"/>
        <w:jc w:val="both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Individual Applied Hours / Individual Contribution Matrix: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9"/>
        <w:gridCol w:w="1076"/>
        <w:gridCol w:w="8265"/>
      </w:tblGrid>
      <w:tr w:rsidR="00FC0817" w14:paraId="45949F2D" w14:textId="77777777">
        <w:trPr>
          <w:trHeight w:val="413"/>
        </w:trPr>
        <w:tc>
          <w:tcPr>
            <w:tcW w:w="1450" w:type="dxa"/>
            <w:shd w:val="clear" w:color="auto" w:fill="auto"/>
            <w:vAlign w:val="center"/>
          </w:tcPr>
          <w:p w14:paraId="068B2259" w14:textId="77777777" w:rsidR="00FC0817" w:rsidRDefault="00CC3969">
            <w:pPr>
              <w:spacing w:after="6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22B15A5E" w14:textId="77777777" w:rsidR="00FC0817" w:rsidRDefault="00CC3969">
            <w:pPr>
              <w:spacing w:after="6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08E49E2B" w14:textId="77777777" w:rsidR="00FC0817" w:rsidRDefault="00CC3969">
            <w:pPr>
              <w:spacing w:after="6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Contribution</w:t>
            </w:r>
          </w:p>
        </w:tc>
      </w:tr>
      <w:tr w:rsidR="00FC0817" w14:paraId="6A9543DE" w14:textId="77777777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71AB6D18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Mitch</w:t>
            </w:r>
          </w:p>
        </w:tc>
        <w:tc>
          <w:tcPr>
            <w:tcW w:w="1076" w:type="dxa"/>
            <w:shd w:val="clear" w:color="auto" w:fill="auto"/>
          </w:tcPr>
          <w:p w14:paraId="58851333" w14:textId="0FB8DD74" w:rsidR="00FC0817" w:rsidRDefault="00546216">
            <w:pPr>
              <w:spacing w:after="6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043E7182" w14:textId="481CEB0B" w:rsidR="00FC0817" w:rsidRPr="00012501" w:rsidRDefault="00012501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>Continued work from last week</w:t>
            </w:r>
          </w:p>
        </w:tc>
      </w:tr>
      <w:tr w:rsidR="00FC0817" w14:paraId="3230EB9D" w14:textId="77777777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7B598BF6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Andre</w:t>
            </w:r>
          </w:p>
        </w:tc>
        <w:tc>
          <w:tcPr>
            <w:tcW w:w="1076" w:type="dxa"/>
            <w:shd w:val="clear" w:color="auto" w:fill="auto"/>
          </w:tcPr>
          <w:p w14:paraId="355B6749" w14:textId="4CED9CC6" w:rsidR="00FC0817" w:rsidRDefault="00546216">
            <w:pPr>
              <w:spacing w:after="60" w:line="240" w:lineRule="auto"/>
              <w:jc w:val="center"/>
            </w:pPr>
            <w:r>
              <w:t>7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0E962C5F" w14:textId="01046115" w:rsidR="00FC0817" w:rsidRDefault="00FC506D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Continued work from last week, </w:t>
            </w:r>
            <w:r w:rsidR="00012501">
              <w:rPr>
                <w:rFonts w:ascii="Arial Narrow" w:eastAsia="Times New Roman" w:hAnsi="Arial Narrow" w:cs="Times New Roman"/>
                <w:sz w:val="20"/>
                <w:szCs w:val="20"/>
              </w:rPr>
              <w:t>Weekly Report</w:t>
            </w:r>
          </w:p>
        </w:tc>
      </w:tr>
      <w:tr w:rsidR="00FC0817" w14:paraId="5E338E67" w14:textId="77777777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19CBBB3B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Andrew</w:t>
            </w:r>
          </w:p>
        </w:tc>
        <w:tc>
          <w:tcPr>
            <w:tcW w:w="1076" w:type="dxa"/>
            <w:shd w:val="clear" w:color="auto" w:fill="auto"/>
          </w:tcPr>
          <w:p w14:paraId="37DA8E11" w14:textId="02FEA2BF" w:rsidR="00FC0817" w:rsidRDefault="00546216">
            <w:pPr>
              <w:spacing w:after="60" w:line="240" w:lineRule="auto"/>
              <w:jc w:val="center"/>
            </w:pPr>
            <w:r>
              <w:t>8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5688EE87" w14:textId="714AF2EC" w:rsidR="00FC0817" w:rsidRDefault="00012501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Reworked CLI</w:t>
            </w:r>
          </w:p>
        </w:tc>
      </w:tr>
      <w:tr w:rsidR="00FC0817" w14:paraId="7A11298C" w14:textId="77777777">
        <w:trPr>
          <w:trHeight w:val="212"/>
        </w:trPr>
        <w:tc>
          <w:tcPr>
            <w:tcW w:w="1450" w:type="dxa"/>
            <w:shd w:val="clear" w:color="auto" w:fill="auto"/>
            <w:vAlign w:val="center"/>
          </w:tcPr>
          <w:p w14:paraId="7AEAEBB1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Hunter</w:t>
            </w:r>
          </w:p>
        </w:tc>
        <w:tc>
          <w:tcPr>
            <w:tcW w:w="1076" w:type="dxa"/>
            <w:shd w:val="clear" w:color="auto" w:fill="auto"/>
          </w:tcPr>
          <w:p w14:paraId="2160E32F" w14:textId="77876F0D" w:rsidR="00FC0817" w:rsidRDefault="00546216">
            <w:pPr>
              <w:spacing w:after="60" w:line="240" w:lineRule="auto"/>
              <w:jc w:val="center"/>
            </w:pPr>
            <w:r>
              <w:t>6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1CF83B8C" w14:textId="2E286581" w:rsidR="00FC0817" w:rsidRDefault="00012501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Continued work from last week</w:t>
            </w:r>
          </w:p>
        </w:tc>
      </w:tr>
      <w:tr w:rsidR="00FC0817" w14:paraId="378D46D1" w14:textId="77777777">
        <w:trPr>
          <w:trHeight w:val="212"/>
        </w:trPr>
        <w:tc>
          <w:tcPr>
            <w:tcW w:w="1450" w:type="dxa"/>
            <w:tcBorders>
              <w:top w:val="nil"/>
            </w:tcBorders>
            <w:shd w:val="clear" w:color="auto" w:fill="auto"/>
            <w:vAlign w:val="center"/>
          </w:tcPr>
          <w:p w14:paraId="7F73C8D5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Carl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auto"/>
          </w:tcPr>
          <w:p w14:paraId="17EC7FA7" w14:textId="44EF089F" w:rsidR="00FC0817" w:rsidRDefault="00F72E3A">
            <w:pPr>
              <w:spacing w:after="60" w:line="240" w:lineRule="auto"/>
              <w:jc w:val="center"/>
            </w:pPr>
            <w:r>
              <w:t>8</w:t>
            </w:r>
          </w:p>
        </w:tc>
        <w:tc>
          <w:tcPr>
            <w:tcW w:w="8274" w:type="dxa"/>
            <w:tcBorders>
              <w:top w:val="nil"/>
            </w:tcBorders>
            <w:shd w:val="clear" w:color="auto" w:fill="auto"/>
            <w:vAlign w:val="center"/>
          </w:tcPr>
          <w:p w14:paraId="66E9EF46" w14:textId="507F7EED" w:rsidR="00FC0817" w:rsidRPr="00012501" w:rsidRDefault="0023412F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>Continued development of networking. Switched from openssl to libressl</w:t>
            </w:r>
          </w:p>
        </w:tc>
      </w:tr>
    </w:tbl>
    <w:p w14:paraId="07161B9F" w14:textId="5CB96F7A" w:rsidR="00FC0817" w:rsidRDefault="00FC0817" w:rsidP="009E4D64">
      <w:pPr>
        <w:spacing w:after="60" w:line="240" w:lineRule="auto"/>
      </w:pPr>
    </w:p>
    <w:p w14:paraId="50F686EB" w14:textId="6A11036F" w:rsidR="009E4D64" w:rsidRDefault="009E4D64" w:rsidP="009E4D64">
      <w:pPr>
        <w:spacing w:after="60" w:line="240" w:lineRule="auto"/>
        <w:rPr>
          <w:b/>
          <w:bCs/>
        </w:rPr>
      </w:pPr>
      <w:r w:rsidRPr="009E4D64">
        <w:rPr>
          <w:b/>
          <w:bCs/>
        </w:rPr>
        <w:t>Delivery Confirmation:</w:t>
      </w:r>
    </w:p>
    <w:p w14:paraId="29BDAAD8" w14:textId="69C34691" w:rsidR="009E4D64" w:rsidRPr="009E4D64" w:rsidRDefault="009E4D64" w:rsidP="009E4D64">
      <w:pPr>
        <w:spacing w:after="60" w:line="240" w:lineRule="auto"/>
        <w:rPr>
          <w:b/>
          <w:bCs/>
        </w:rPr>
      </w:pPr>
      <w:r w:rsidRPr="009E4D64">
        <w:rPr>
          <w:b/>
          <w:bCs/>
        </w:rPr>
        <w:drawing>
          <wp:inline distT="0" distB="0" distL="0" distR="0" wp14:anchorId="03770FEE" wp14:editId="09AADC7B">
            <wp:extent cx="4642089" cy="36958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D64" w:rsidRPr="009E4D6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664"/>
    <w:multiLevelType w:val="multilevel"/>
    <w:tmpl w:val="FB381DD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1321A3"/>
    <w:multiLevelType w:val="hybridMultilevel"/>
    <w:tmpl w:val="654EE81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2" w15:restartNumberingAfterBreak="0">
    <w:nsid w:val="4B281126"/>
    <w:multiLevelType w:val="multilevel"/>
    <w:tmpl w:val="2814DDB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9A0AC4"/>
    <w:multiLevelType w:val="multilevel"/>
    <w:tmpl w:val="5FF239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17"/>
    <w:rsid w:val="00012501"/>
    <w:rsid w:val="0023412F"/>
    <w:rsid w:val="00546216"/>
    <w:rsid w:val="009E4D64"/>
    <w:rsid w:val="00CC3969"/>
    <w:rsid w:val="00F62943"/>
    <w:rsid w:val="00F72E3A"/>
    <w:rsid w:val="00FC0817"/>
    <w:rsid w:val="00F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288"/>
  <w15:docId w15:val="{2A83FCFF-C388-4A25-AA53-F7D01B4A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table" w:styleId="TableGrid">
    <w:name w:val="Table Grid"/>
    <w:basedOn w:val="TableNormal"/>
    <w:uiPriority w:val="39"/>
    <w:rsid w:val="00DC3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Herrera</dc:creator>
  <dc:description/>
  <cp:lastModifiedBy>Andre Herrera</cp:lastModifiedBy>
  <cp:revision>6</cp:revision>
  <dcterms:created xsi:type="dcterms:W3CDTF">2020-01-31T23:36:00Z</dcterms:created>
  <dcterms:modified xsi:type="dcterms:W3CDTF">2020-01-31T23:54:00Z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