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5592" w14:textId="2F5D2289" w:rsidR="00EE3785" w:rsidRPr="009957D2" w:rsidRDefault="009957D2">
      <w:r w:rsidRPr="009957D2">
        <w:t>TAMID Tech Track</w:t>
      </w:r>
    </w:p>
    <w:p w14:paraId="2302B099" w14:textId="587D2312" w:rsidR="009957D2" w:rsidRDefault="009957D2">
      <w:r>
        <w:t>Let it Bloom Project</w:t>
      </w:r>
    </w:p>
    <w:p w14:paraId="0D6BB9CB" w14:textId="7235CEF2" w:rsidR="009957D2" w:rsidRDefault="009957D2" w:rsidP="009957D2">
      <w:pPr>
        <w:jc w:val="center"/>
      </w:pPr>
      <w:r>
        <w:t>Koppen-Geiger Data</w:t>
      </w:r>
    </w:p>
    <w:p w14:paraId="28BBB4A7" w14:textId="7E628504" w:rsidR="009D5994" w:rsidRDefault="009D5994" w:rsidP="009D5994">
      <w:pPr>
        <w:jc w:val="center"/>
      </w:pPr>
      <w:hyperlink r:id="rId4" w:history="1">
        <w:r w:rsidRPr="00C934CE">
          <w:rPr>
            <w:rStyle w:val="Hyperlink"/>
          </w:rPr>
          <w:t>https://1drv.ms/u/s!AuhBid_0LwKFg4QrRUa3zaiAhXGGNw?e=EJqVXr</w:t>
        </w:r>
      </w:hyperlink>
    </w:p>
    <w:p w14:paraId="53A7C80A" w14:textId="613426A7" w:rsidR="009957D2" w:rsidRPr="009957D2" w:rsidRDefault="009957D2" w:rsidP="009957D2">
      <w:pPr>
        <w:rPr>
          <w:u w:val="single"/>
        </w:rPr>
      </w:pPr>
      <w:r w:rsidRPr="009957D2">
        <w:rPr>
          <w:u w:val="single"/>
        </w:rPr>
        <w:t>Explanation:</w:t>
      </w:r>
    </w:p>
    <w:p w14:paraId="527D2A6E" w14:textId="091FC4FA" w:rsidR="009957D2" w:rsidRDefault="009957D2" w:rsidP="009957D2">
      <w:r>
        <w:t xml:space="preserve">The link provided above allows access to </w:t>
      </w:r>
      <w:r w:rsidR="009D5994">
        <w:t>20 CSV files that the team has created. The breakup is as follows:</w:t>
      </w:r>
    </w:p>
    <w:tbl>
      <w:tblPr>
        <w:tblStyle w:val="TableGrid"/>
        <w:tblW w:w="0" w:type="auto"/>
        <w:tblLook w:val="04A0" w:firstRow="1" w:lastRow="0" w:firstColumn="1" w:lastColumn="0" w:noHBand="0" w:noVBand="1"/>
      </w:tblPr>
      <w:tblGrid>
        <w:gridCol w:w="1870"/>
        <w:gridCol w:w="1870"/>
        <w:gridCol w:w="1870"/>
        <w:gridCol w:w="1870"/>
        <w:gridCol w:w="1870"/>
      </w:tblGrid>
      <w:tr w:rsidR="009D5994" w14:paraId="558E63F3" w14:textId="77777777" w:rsidTr="009D5994">
        <w:trPr>
          <w:trHeight w:val="576"/>
        </w:trPr>
        <w:tc>
          <w:tcPr>
            <w:tcW w:w="1870" w:type="dxa"/>
          </w:tcPr>
          <w:p w14:paraId="0C51D1C6" w14:textId="37CB7F1B" w:rsidR="009D5994" w:rsidRPr="009D5994" w:rsidRDefault="009D5994" w:rsidP="009957D2">
            <w:pPr>
              <w:rPr>
                <w:b/>
                <w:bCs/>
              </w:rPr>
            </w:pPr>
            <w:r>
              <w:rPr>
                <w:b/>
                <w:bCs/>
              </w:rPr>
              <w:t>Model</w:t>
            </w:r>
          </w:p>
        </w:tc>
        <w:tc>
          <w:tcPr>
            <w:tcW w:w="1870" w:type="dxa"/>
          </w:tcPr>
          <w:p w14:paraId="39E95DF0" w14:textId="3EEF1C7D" w:rsidR="009D5994" w:rsidRPr="009D5994" w:rsidRDefault="009D5994" w:rsidP="009957D2">
            <w:pPr>
              <w:rPr>
                <w:b/>
                <w:bCs/>
              </w:rPr>
            </w:pPr>
            <w:r>
              <w:rPr>
                <w:b/>
                <w:bCs/>
              </w:rPr>
              <w:t>Duration 1</w:t>
            </w:r>
          </w:p>
        </w:tc>
        <w:tc>
          <w:tcPr>
            <w:tcW w:w="1870" w:type="dxa"/>
          </w:tcPr>
          <w:p w14:paraId="48C5A531" w14:textId="0703E297" w:rsidR="009D5994" w:rsidRPr="009D5994" w:rsidRDefault="009D5994" w:rsidP="009957D2">
            <w:pPr>
              <w:rPr>
                <w:b/>
                <w:bCs/>
              </w:rPr>
            </w:pPr>
            <w:r>
              <w:rPr>
                <w:b/>
                <w:bCs/>
              </w:rPr>
              <w:t>Duration 2</w:t>
            </w:r>
          </w:p>
        </w:tc>
        <w:tc>
          <w:tcPr>
            <w:tcW w:w="1870" w:type="dxa"/>
          </w:tcPr>
          <w:p w14:paraId="615F1CF2" w14:textId="291DB05E" w:rsidR="009D5994" w:rsidRPr="009D5994" w:rsidRDefault="009D5994" w:rsidP="009957D2">
            <w:pPr>
              <w:rPr>
                <w:b/>
                <w:bCs/>
              </w:rPr>
            </w:pPr>
            <w:r>
              <w:rPr>
                <w:b/>
                <w:bCs/>
              </w:rPr>
              <w:t>Duration 3</w:t>
            </w:r>
          </w:p>
        </w:tc>
        <w:tc>
          <w:tcPr>
            <w:tcW w:w="1870" w:type="dxa"/>
          </w:tcPr>
          <w:p w14:paraId="18E64915" w14:textId="6B4BB09D" w:rsidR="009D5994" w:rsidRPr="009D5994" w:rsidRDefault="009D5994" w:rsidP="009957D2">
            <w:pPr>
              <w:rPr>
                <w:b/>
                <w:bCs/>
              </w:rPr>
            </w:pPr>
            <w:r>
              <w:rPr>
                <w:b/>
                <w:bCs/>
              </w:rPr>
              <w:t>Duration 4</w:t>
            </w:r>
          </w:p>
        </w:tc>
      </w:tr>
      <w:tr w:rsidR="009D5994" w14:paraId="781688B5" w14:textId="77777777" w:rsidTr="009D5994">
        <w:trPr>
          <w:trHeight w:val="576"/>
        </w:trPr>
        <w:tc>
          <w:tcPr>
            <w:tcW w:w="1870" w:type="dxa"/>
          </w:tcPr>
          <w:p w14:paraId="7BE600CB" w14:textId="77777777" w:rsidR="009D5994" w:rsidRDefault="009D5994" w:rsidP="009957D2">
            <w:pPr>
              <w:rPr>
                <w:b/>
                <w:bCs/>
              </w:rPr>
            </w:pPr>
            <w:r>
              <w:rPr>
                <w:b/>
                <w:bCs/>
              </w:rPr>
              <w:t>Observed</w:t>
            </w:r>
          </w:p>
          <w:p w14:paraId="529D3964" w14:textId="41B9602F" w:rsidR="009D5994" w:rsidRPr="009D5994" w:rsidRDefault="009D5994" w:rsidP="009957D2">
            <w:pPr>
              <w:rPr>
                <w:b/>
                <w:bCs/>
              </w:rPr>
            </w:pPr>
          </w:p>
        </w:tc>
        <w:tc>
          <w:tcPr>
            <w:tcW w:w="1870" w:type="dxa"/>
          </w:tcPr>
          <w:p w14:paraId="74AFA28B" w14:textId="365BC41C" w:rsidR="009D5994" w:rsidRDefault="009D5994" w:rsidP="009957D2">
            <w:r>
              <w:t>1901-1925</w:t>
            </w:r>
          </w:p>
        </w:tc>
        <w:tc>
          <w:tcPr>
            <w:tcW w:w="1870" w:type="dxa"/>
          </w:tcPr>
          <w:p w14:paraId="10FB99F2" w14:textId="4D115586" w:rsidR="009D5994" w:rsidRDefault="009D5994" w:rsidP="009957D2">
            <w:r>
              <w:t>1926-1950</w:t>
            </w:r>
          </w:p>
        </w:tc>
        <w:tc>
          <w:tcPr>
            <w:tcW w:w="1870" w:type="dxa"/>
          </w:tcPr>
          <w:p w14:paraId="1F4D9EAD" w14:textId="6D53FB62" w:rsidR="009D5994" w:rsidRDefault="009D5994" w:rsidP="009957D2">
            <w:r>
              <w:t>1951-1975</w:t>
            </w:r>
          </w:p>
        </w:tc>
        <w:tc>
          <w:tcPr>
            <w:tcW w:w="1870" w:type="dxa"/>
          </w:tcPr>
          <w:p w14:paraId="7FCD0A71" w14:textId="518E57BB" w:rsidR="009D5994" w:rsidRDefault="009D5994" w:rsidP="009957D2">
            <w:r>
              <w:t>1976-2000</w:t>
            </w:r>
          </w:p>
        </w:tc>
      </w:tr>
      <w:tr w:rsidR="009D5994" w14:paraId="7E9A9042" w14:textId="77777777" w:rsidTr="009D5994">
        <w:trPr>
          <w:trHeight w:val="576"/>
        </w:trPr>
        <w:tc>
          <w:tcPr>
            <w:tcW w:w="1870" w:type="dxa"/>
          </w:tcPr>
          <w:p w14:paraId="13878B1B" w14:textId="46AE09E4" w:rsidR="009D5994" w:rsidRPr="009D5994" w:rsidRDefault="009D5994" w:rsidP="009957D2">
            <w:pPr>
              <w:rPr>
                <w:b/>
                <w:bCs/>
              </w:rPr>
            </w:pPr>
            <w:r>
              <w:rPr>
                <w:b/>
                <w:bCs/>
              </w:rPr>
              <w:t>A1FI Model</w:t>
            </w:r>
          </w:p>
        </w:tc>
        <w:tc>
          <w:tcPr>
            <w:tcW w:w="1870" w:type="dxa"/>
          </w:tcPr>
          <w:p w14:paraId="51F04E51" w14:textId="6D217791" w:rsidR="009D5994" w:rsidRDefault="009D5994" w:rsidP="009957D2">
            <w:r>
              <w:t>2001-2025</w:t>
            </w:r>
          </w:p>
        </w:tc>
        <w:tc>
          <w:tcPr>
            <w:tcW w:w="1870" w:type="dxa"/>
          </w:tcPr>
          <w:p w14:paraId="0AF96C85" w14:textId="1134C4A3" w:rsidR="009D5994" w:rsidRDefault="009D5994" w:rsidP="009957D2">
            <w:r>
              <w:t>2026-2050</w:t>
            </w:r>
          </w:p>
        </w:tc>
        <w:tc>
          <w:tcPr>
            <w:tcW w:w="1870" w:type="dxa"/>
          </w:tcPr>
          <w:p w14:paraId="1DC4DDCB" w14:textId="2EEB3392" w:rsidR="009D5994" w:rsidRDefault="009D5994" w:rsidP="009957D2">
            <w:r>
              <w:t>2051-2075</w:t>
            </w:r>
          </w:p>
        </w:tc>
        <w:tc>
          <w:tcPr>
            <w:tcW w:w="1870" w:type="dxa"/>
          </w:tcPr>
          <w:p w14:paraId="247D866C" w14:textId="52B0FA01" w:rsidR="009D5994" w:rsidRDefault="009D5994" w:rsidP="009957D2">
            <w:r>
              <w:t>2076-2100</w:t>
            </w:r>
          </w:p>
        </w:tc>
      </w:tr>
      <w:tr w:rsidR="009D5994" w14:paraId="72908917" w14:textId="77777777" w:rsidTr="009D5994">
        <w:trPr>
          <w:trHeight w:val="576"/>
        </w:trPr>
        <w:tc>
          <w:tcPr>
            <w:tcW w:w="1870" w:type="dxa"/>
          </w:tcPr>
          <w:p w14:paraId="0A9D2892" w14:textId="7144322A" w:rsidR="009D5994" w:rsidRPr="009D5994" w:rsidRDefault="009D5994" w:rsidP="009D5994">
            <w:pPr>
              <w:rPr>
                <w:b/>
                <w:bCs/>
              </w:rPr>
            </w:pPr>
            <w:r>
              <w:rPr>
                <w:b/>
                <w:bCs/>
              </w:rPr>
              <w:t>A2 Model</w:t>
            </w:r>
          </w:p>
        </w:tc>
        <w:tc>
          <w:tcPr>
            <w:tcW w:w="1870" w:type="dxa"/>
          </w:tcPr>
          <w:p w14:paraId="4A2A0E6E" w14:textId="3D3C872A" w:rsidR="009D5994" w:rsidRDefault="009D5994" w:rsidP="009D5994">
            <w:r>
              <w:t>2001-2025</w:t>
            </w:r>
          </w:p>
        </w:tc>
        <w:tc>
          <w:tcPr>
            <w:tcW w:w="1870" w:type="dxa"/>
          </w:tcPr>
          <w:p w14:paraId="4A785DF0" w14:textId="561A3065" w:rsidR="009D5994" w:rsidRDefault="009D5994" w:rsidP="009D5994">
            <w:r>
              <w:t>2026-2050</w:t>
            </w:r>
          </w:p>
        </w:tc>
        <w:tc>
          <w:tcPr>
            <w:tcW w:w="1870" w:type="dxa"/>
          </w:tcPr>
          <w:p w14:paraId="06B8A113" w14:textId="45BF803D" w:rsidR="009D5994" w:rsidRDefault="009D5994" w:rsidP="009D5994">
            <w:r>
              <w:t>2051-2075</w:t>
            </w:r>
          </w:p>
        </w:tc>
        <w:tc>
          <w:tcPr>
            <w:tcW w:w="1870" w:type="dxa"/>
          </w:tcPr>
          <w:p w14:paraId="7408040E" w14:textId="5EA76D10" w:rsidR="009D5994" w:rsidRDefault="009D5994" w:rsidP="009D5994">
            <w:r>
              <w:t>2076-2100</w:t>
            </w:r>
          </w:p>
        </w:tc>
      </w:tr>
      <w:tr w:rsidR="009D5994" w14:paraId="10AC061A" w14:textId="77777777" w:rsidTr="009D5994">
        <w:trPr>
          <w:trHeight w:val="576"/>
        </w:trPr>
        <w:tc>
          <w:tcPr>
            <w:tcW w:w="1870" w:type="dxa"/>
          </w:tcPr>
          <w:p w14:paraId="2DE828E0" w14:textId="26CC7414" w:rsidR="009D5994" w:rsidRPr="009D5994" w:rsidRDefault="009D5994" w:rsidP="009D5994">
            <w:pPr>
              <w:rPr>
                <w:b/>
                <w:bCs/>
              </w:rPr>
            </w:pPr>
            <w:r>
              <w:rPr>
                <w:b/>
                <w:bCs/>
              </w:rPr>
              <w:t>B1 Model</w:t>
            </w:r>
          </w:p>
        </w:tc>
        <w:tc>
          <w:tcPr>
            <w:tcW w:w="1870" w:type="dxa"/>
          </w:tcPr>
          <w:p w14:paraId="3E74D40B" w14:textId="01A2A07B" w:rsidR="009D5994" w:rsidRDefault="009D5994" w:rsidP="009D5994">
            <w:r>
              <w:t>2001-2025</w:t>
            </w:r>
          </w:p>
        </w:tc>
        <w:tc>
          <w:tcPr>
            <w:tcW w:w="1870" w:type="dxa"/>
          </w:tcPr>
          <w:p w14:paraId="22F78C74" w14:textId="56F33ABE" w:rsidR="009D5994" w:rsidRDefault="009D5994" w:rsidP="009D5994">
            <w:r>
              <w:t>2026-2050</w:t>
            </w:r>
          </w:p>
        </w:tc>
        <w:tc>
          <w:tcPr>
            <w:tcW w:w="1870" w:type="dxa"/>
          </w:tcPr>
          <w:p w14:paraId="0DD40B8C" w14:textId="4C215D5F" w:rsidR="009D5994" w:rsidRDefault="009D5994" w:rsidP="009D5994">
            <w:r>
              <w:t>2051-2075</w:t>
            </w:r>
          </w:p>
        </w:tc>
        <w:tc>
          <w:tcPr>
            <w:tcW w:w="1870" w:type="dxa"/>
          </w:tcPr>
          <w:p w14:paraId="1ACB9F53" w14:textId="3707DC5B" w:rsidR="009D5994" w:rsidRDefault="009D5994" w:rsidP="009D5994">
            <w:r>
              <w:t>2076-2100</w:t>
            </w:r>
          </w:p>
        </w:tc>
      </w:tr>
      <w:tr w:rsidR="009D5994" w14:paraId="03AFAA58" w14:textId="77777777" w:rsidTr="009D5994">
        <w:trPr>
          <w:trHeight w:val="576"/>
        </w:trPr>
        <w:tc>
          <w:tcPr>
            <w:tcW w:w="1870" w:type="dxa"/>
          </w:tcPr>
          <w:p w14:paraId="3272C9D8" w14:textId="4C81F26C" w:rsidR="009D5994" w:rsidRPr="009D5994" w:rsidRDefault="009D5994" w:rsidP="009D5994">
            <w:pPr>
              <w:rPr>
                <w:b/>
                <w:bCs/>
              </w:rPr>
            </w:pPr>
            <w:r>
              <w:rPr>
                <w:b/>
                <w:bCs/>
              </w:rPr>
              <w:t>B2 Model</w:t>
            </w:r>
          </w:p>
        </w:tc>
        <w:tc>
          <w:tcPr>
            <w:tcW w:w="1870" w:type="dxa"/>
          </w:tcPr>
          <w:p w14:paraId="78B6385C" w14:textId="317332CC" w:rsidR="009D5994" w:rsidRDefault="009D5994" w:rsidP="009D5994">
            <w:r>
              <w:t>2001-2025</w:t>
            </w:r>
          </w:p>
        </w:tc>
        <w:tc>
          <w:tcPr>
            <w:tcW w:w="1870" w:type="dxa"/>
          </w:tcPr>
          <w:p w14:paraId="019D19E9" w14:textId="2B708F0E" w:rsidR="009D5994" w:rsidRDefault="009D5994" w:rsidP="009D5994">
            <w:r>
              <w:t>2026-2050</w:t>
            </w:r>
          </w:p>
        </w:tc>
        <w:tc>
          <w:tcPr>
            <w:tcW w:w="1870" w:type="dxa"/>
          </w:tcPr>
          <w:p w14:paraId="02F7B61F" w14:textId="182CE8DA" w:rsidR="009D5994" w:rsidRDefault="009D5994" w:rsidP="009D5994">
            <w:r>
              <w:t>2051-2075</w:t>
            </w:r>
          </w:p>
        </w:tc>
        <w:tc>
          <w:tcPr>
            <w:tcW w:w="1870" w:type="dxa"/>
          </w:tcPr>
          <w:p w14:paraId="741278C2" w14:textId="0DEDA1BB" w:rsidR="009D5994" w:rsidRDefault="009D5994" w:rsidP="009D5994">
            <w:r>
              <w:t>2076-2100</w:t>
            </w:r>
          </w:p>
        </w:tc>
      </w:tr>
    </w:tbl>
    <w:p w14:paraId="036A2906" w14:textId="312F3E9D" w:rsidR="00265D5F" w:rsidRDefault="00ED1135" w:rsidP="009957D2">
      <w:pPr>
        <w:rPr>
          <w:b/>
          <w:bCs/>
        </w:rPr>
      </w:pPr>
      <w:r>
        <w:rPr>
          <w:b/>
          <w:bCs/>
        </w:rPr>
        <w:t>A1F1:</w:t>
      </w:r>
    </w:p>
    <w:p w14:paraId="5E2EB777" w14:textId="3F96078E" w:rsidR="00ED1135" w:rsidRDefault="00ED1135" w:rsidP="009957D2">
      <w:pPr>
        <w:rPr>
          <w:rFonts w:ascii="Arial" w:hAnsi="Arial" w:cs="Arial"/>
          <w:color w:val="333333"/>
          <w:shd w:val="clear" w:color="auto" w:fill="FFFFFF"/>
        </w:rPr>
      </w:pPr>
      <w:r>
        <w:rPr>
          <w:rFonts w:ascii="Arial" w:hAnsi="Arial" w:cs="Arial"/>
          <w:color w:val="333333"/>
          <w:shd w:val="clear" w:color="auto" w:fill="FFFFFF"/>
        </w:rPr>
        <w:t>A future world of very rapid economic growth, low population growth and rapid introduction of new and more efficient technology. Major underlying themes are economic and cultural convergence and capacity building, with a substantial reduction in regional differences in per capita income. In this world, people pursue personal wealth rather than environmental quality.</w:t>
      </w:r>
    </w:p>
    <w:p w14:paraId="79ACB81C" w14:textId="01FEA534" w:rsidR="00ED1135" w:rsidRDefault="00ED1135" w:rsidP="009957D2">
      <w:pPr>
        <w:rPr>
          <w:rFonts w:ascii="Arial" w:hAnsi="Arial" w:cs="Arial"/>
          <w:b/>
          <w:bCs/>
          <w:color w:val="333333"/>
          <w:shd w:val="clear" w:color="auto" w:fill="FFFFFF"/>
        </w:rPr>
      </w:pPr>
      <w:r>
        <w:rPr>
          <w:rFonts w:ascii="Arial" w:hAnsi="Arial" w:cs="Arial"/>
          <w:b/>
          <w:bCs/>
          <w:color w:val="333333"/>
          <w:shd w:val="clear" w:color="auto" w:fill="FFFFFF"/>
        </w:rPr>
        <w:t>A2</w:t>
      </w:r>
    </w:p>
    <w:p w14:paraId="21147823" w14:textId="3CC79666" w:rsidR="00ED1135" w:rsidRDefault="00ED1135" w:rsidP="009957D2">
      <w:pPr>
        <w:rPr>
          <w:rFonts w:ascii="Arial" w:hAnsi="Arial" w:cs="Arial"/>
          <w:b/>
          <w:bCs/>
          <w:color w:val="333333"/>
          <w:shd w:val="clear" w:color="auto" w:fill="FFFFFF"/>
        </w:rPr>
      </w:pPr>
      <w:r>
        <w:rPr>
          <w:rFonts w:ascii="Arial" w:hAnsi="Arial" w:cs="Arial"/>
          <w:color w:val="333333"/>
          <w:shd w:val="clear" w:color="auto" w:fill="FFFFFF"/>
        </w:rPr>
        <w:t>A very heterogeneous world. The underlying theme is that of strengthening regional cultural identities, with an emphasis on family values and local traditions, high population growth, and less concern for rapid economic development.</w:t>
      </w:r>
    </w:p>
    <w:p w14:paraId="612FF8A6" w14:textId="7F3E2B57" w:rsidR="00ED1135" w:rsidRDefault="00ED1135" w:rsidP="009957D2">
      <w:pPr>
        <w:rPr>
          <w:rFonts w:ascii="Arial" w:hAnsi="Arial" w:cs="Arial"/>
          <w:b/>
          <w:bCs/>
          <w:color w:val="333333"/>
          <w:shd w:val="clear" w:color="auto" w:fill="FFFFFF"/>
        </w:rPr>
      </w:pPr>
      <w:r>
        <w:rPr>
          <w:rFonts w:ascii="Arial" w:hAnsi="Arial" w:cs="Arial"/>
          <w:b/>
          <w:bCs/>
          <w:color w:val="333333"/>
          <w:shd w:val="clear" w:color="auto" w:fill="FFFFFF"/>
        </w:rPr>
        <w:t>B1</w:t>
      </w:r>
    </w:p>
    <w:p w14:paraId="0F119781" w14:textId="5CD8BE05" w:rsidR="00ED1135" w:rsidRDefault="00ED1135" w:rsidP="009957D2">
      <w:pPr>
        <w:rPr>
          <w:rFonts w:ascii="Arial" w:hAnsi="Arial" w:cs="Arial"/>
          <w:b/>
          <w:bCs/>
          <w:color w:val="333333"/>
          <w:shd w:val="clear" w:color="auto" w:fill="FFFFFF"/>
        </w:rPr>
      </w:pPr>
      <w:r>
        <w:rPr>
          <w:rFonts w:ascii="Arial" w:hAnsi="Arial" w:cs="Arial"/>
          <w:color w:val="333333"/>
          <w:shd w:val="clear" w:color="auto" w:fill="FFFFFF"/>
        </w:rPr>
        <w:t>A convergent world with the same global population as in the A1 storyline but with rapid changes in economic structures toward a service and information economy, with reductions in materials intensity, and the introduction of clean and resource-efficient technologies.</w:t>
      </w:r>
    </w:p>
    <w:p w14:paraId="41F85FA8" w14:textId="4FE1944E" w:rsidR="00ED1135" w:rsidRDefault="00ED1135" w:rsidP="009957D2">
      <w:pPr>
        <w:rPr>
          <w:rFonts w:ascii="Arial" w:hAnsi="Arial" w:cs="Arial"/>
          <w:b/>
          <w:bCs/>
          <w:color w:val="333333"/>
          <w:shd w:val="clear" w:color="auto" w:fill="FFFFFF"/>
        </w:rPr>
      </w:pPr>
      <w:r>
        <w:rPr>
          <w:rFonts w:ascii="Arial" w:hAnsi="Arial" w:cs="Arial"/>
          <w:b/>
          <w:bCs/>
          <w:color w:val="333333"/>
          <w:shd w:val="clear" w:color="auto" w:fill="FFFFFF"/>
        </w:rPr>
        <w:t>B2</w:t>
      </w:r>
    </w:p>
    <w:p w14:paraId="1C035898" w14:textId="385869E9" w:rsidR="00ED1135" w:rsidRPr="00ED1135" w:rsidRDefault="00ED1135" w:rsidP="009957D2">
      <w:pPr>
        <w:rPr>
          <w:rFonts w:ascii="Arial" w:hAnsi="Arial" w:cs="Arial"/>
          <w:b/>
          <w:bCs/>
          <w:color w:val="333333"/>
          <w:shd w:val="clear" w:color="auto" w:fill="FFFFFF"/>
        </w:rPr>
      </w:pPr>
      <w:r>
        <w:rPr>
          <w:rFonts w:ascii="Arial" w:hAnsi="Arial" w:cs="Arial"/>
          <w:color w:val="333333"/>
          <w:shd w:val="clear" w:color="auto" w:fill="FFFFFF"/>
        </w:rPr>
        <w:t>A world in which the emphasis is on local solutions to economic, social, and environmental sustainability. It is again a heterogeneous world with less rapid, and more diverse technological change but a strong emphasis on community initiative and social innovation to find local, rather than global solutions.</w:t>
      </w:r>
    </w:p>
    <w:sectPr w:rsidR="00ED1135" w:rsidRPr="00E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85"/>
    <w:rsid w:val="00265D5F"/>
    <w:rsid w:val="009957D2"/>
    <w:rsid w:val="009D5994"/>
    <w:rsid w:val="00ED1135"/>
    <w:rsid w:val="00EE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03F3"/>
  <w15:chartTrackingRefBased/>
  <w15:docId w15:val="{458C9B56-6DD0-4FA9-8C17-9E7F5B94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7D2"/>
    <w:rPr>
      <w:color w:val="0563C1" w:themeColor="hyperlink"/>
      <w:u w:val="single"/>
    </w:rPr>
  </w:style>
  <w:style w:type="character" w:styleId="UnresolvedMention">
    <w:name w:val="Unresolved Mention"/>
    <w:basedOn w:val="DefaultParagraphFont"/>
    <w:uiPriority w:val="99"/>
    <w:semiHidden/>
    <w:unhideWhenUsed/>
    <w:rsid w:val="009957D2"/>
    <w:rPr>
      <w:color w:val="605E5C"/>
      <w:shd w:val="clear" w:color="auto" w:fill="E1DFDD"/>
    </w:rPr>
  </w:style>
  <w:style w:type="table" w:styleId="TableGrid">
    <w:name w:val="Table Grid"/>
    <w:basedOn w:val="TableNormal"/>
    <w:uiPriority w:val="39"/>
    <w:rsid w:val="009D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drv.ms/u/s!AuhBid_0LwKFg4QrRUa3zaiAhXGGNw?e=EJqV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Cohen</dc:creator>
  <cp:keywords/>
  <dc:description/>
  <cp:lastModifiedBy>Josh Cohen</cp:lastModifiedBy>
  <cp:revision>3</cp:revision>
  <dcterms:created xsi:type="dcterms:W3CDTF">2022-03-10T12:20:00Z</dcterms:created>
  <dcterms:modified xsi:type="dcterms:W3CDTF">2022-03-10T12:33:00Z</dcterms:modified>
</cp:coreProperties>
</file>