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B2AD1">
      <w:pPr>
        <w:spacing w:before="120" w:after="80" w:line="264" w:lineRule="auto"/>
        <w:jc w:val="center"/>
        <w:rPr>
          <w:rFonts w:ascii="Calibri" w:hAnsi="Calibri" w:eastAsia="宋体"/>
          <w:b/>
          <w:color w:val="000000"/>
          <w:sz w:val="44"/>
        </w:rPr>
      </w:pPr>
      <w:r>
        <w:rPr>
          <w:rFonts w:ascii="Calibri" w:hAnsi="Calibri" w:eastAsia="宋体"/>
          <w:b/>
          <w:color w:val="000000"/>
          <w:sz w:val="44"/>
        </w:rPr>
        <w:t>开发分工与交付规范</w:t>
      </w:r>
    </w:p>
    <w:p w14:paraId="4631BA70">
      <w:pPr>
        <w:spacing w:before="120" w:after="80" w:line="264" w:lineRule="auto"/>
        <w:jc w:val="center"/>
        <w:rPr>
          <w:rFonts w:hint="eastAsia" w:ascii="Calibri" w:hAnsi="Calibri" w:eastAsia="宋体"/>
          <w:b/>
          <w:color w:val="000000"/>
          <w:sz w:val="44"/>
          <w:lang w:val="en-US" w:eastAsia="zh-CN"/>
        </w:rPr>
      </w:pPr>
    </w:p>
    <w:p w14:paraId="43AB019F">
      <w:pPr>
        <w:spacing w:before="0" w:after="40" w:line="264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当前版本：在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"https://github.com/jcole666/econometrics-agent-mvp/releases/tag/v0.1.0"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5"/>
          <w:rFonts w:ascii="宋体" w:hAnsi="宋体" w:eastAsia="宋体" w:cs="宋体"/>
          <w:sz w:val="24"/>
          <w:szCs w:val="24"/>
        </w:rPr>
        <w:t>Release 小计 v0.1.0 · jcole666/econometrics-agent-mvp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D2D9C38">
      <w:pPr>
        <w:spacing w:before="0" w:after="40" w:line="264" w:lineRule="auto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选下图第一个下载即可</w:t>
      </w:r>
    </w:p>
    <w:p w14:paraId="7EB6FC75">
      <w:pPr>
        <w:spacing w:before="0" w:after="40" w:line="264" w:lineRule="auto"/>
        <w:rPr>
          <w:rFonts w:hint="eastAsia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932170" cy="1273810"/>
            <wp:effectExtent l="0" t="0" r="1143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6B1B5">
      <w:pPr>
        <w:spacing w:before="0" w:after="40" w:line="264" w:lineRule="auto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下载好界面大概是</w:t>
      </w:r>
    </w:p>
    <w:p w14:paraId="33B0520A">
      <w:pPr>
        <w:spacing w:before="0" w:after="40" w:line="264" w:lineRule="auto"/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drawing>
          <wp:inline distT="0" distB="0" distL="114300" distR="114300">
            <wp:extent cx="5930265" cy="3773805"/>
            <wp:effectExtent l="0" t="0" r="635" b="10795"/>
            <wp:docPr id="2" name="图片 2" descr="6797448407cd9df0000af43472e908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797448407cd9df0000af43472e908d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宋体"/>
          <w:sz w:val="24"/>
          <w:szCs w:val="24"/>
          <w:lang w:val="en-US" w:eastAsia="zh-CN"/>
        </w:rPr>
        <w:t>注意：需要人工点右上角设置自行配置API，关于API参考之前发的免费华为云的那个文档。</w:t>
      </w:r>
    </w:p>
    <w:p w14:paraId="61A616B7">
      <w:pPr>
        <w:spacing w:before="0" w:after="40" w:line="264" w:lineRule="auto"/>
        <w:rPr>
          <w:rFonts w:hint="default" w:cs="宋体"/>
          <w:sz w:val="24"/>
          <w:szCs w:val="24"/>
          <w:lang w:val="en-US" w:eastAsia="zh-CN"/>
        </w:rPr>
      </w:pPr>
    </w:p>
    <w:p w14:paraId="18278C67">
      <w:pPr>
        <w:spacing w:before="0" w:after="40" w:line="264" w:lineRule="auto"/>
        <w:rPr>
          <w:rFonts w:hint="default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可以点击软件中的使用文档查看如何使用。但是当前只是一个最初版，如果大家遇到什么问题请务必积极反馈！！！</w:t>
      </w:r>
    </w:p>
    <w:tbl>
      <w:tblPr>
        <w:tblStyle w:val="33"/>
        <w:tblpPr w:leftFromText="180" w:rightFromText="180" w:vertAnchor="text" w:horzAnchor="page" w:tblpX="1546" w:tblpY="102"/>
        <w:tblOverlap w:val="never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351251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F55BA">
            <w:pPr>
              <w:spacing w:before="0" w:after="0" w:line="259" w:lineRule="auto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项目</w:t>
            </w:r>
          </w:p>
        </w:tc>
        <w:tc>
          <w:tcPr>
            <w:tcW w:w="75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CC044">
            <w:pPr>
              <w:spacing w:before="0" w:after="0" w:line="259" w:lineRule="auto"/>
            </w:pPr>
            <w:r>
              <w:rPr>
                <w:rFonts w:ascii="Calibri" w:hAnsi="Calibri" w:eastAsia="宋体"/>
                <w:b/>
                <w:color w:val="000000"/>
                <w:sz w:val="20"/>
              </w:rPr>
              <w:t>内容</w:t>
            </w:r>
          </w:p>
        </w:tc>
      </w:tr>
      <w:tr w14:paraId="0409D0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8A2FB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文档用途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8D53F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明确每位成员的职责、交付物、交付对象和交付模板，降低新人协作成本。</w:t>
            </w:r>
          </w:p>
        </w:tc>
      </w:tr>
      <w:tr w14:paraId="2794F5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CE755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交付原则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77F76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先交清楚的文档和样例，再做代码或界面细节；所有交付必须能被下一位同学直接使用。</w:t>
            </w:r>
          </w:p>
        </w:tc>
      </w:tr>
      <w:tr w14:paraId="5159A2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8401A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当前代码位置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D5087">
            <w:pPr>
              <w:spacing w:before="0" w:after="0" w:line="259" w:lineRule="auto"/>
              <w:rPr>
                <w:rFonts w:ascii="Calibri" w:hAnsi="Calibri" w:eastAsia="宋体"/>
                <w:b w:val="0"/>
                <w:color w:val="000000"/>
                <w:sz w:val="20"/>
              </w:rPr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前端：desktop-app/app/src/；</w:t>
            </w:r>
          </w:p>
          <w:p w14:paraId="058E4D1A">
            <w:pPr>
              <w:spacing w:before="0" w:after="0" w:line="259" w:lineRule="auto"/>
              <w:rPr>
                <w:rFonts w:ascii="Calibri" w:hAnsi="Calibri" w:eastAsia="宋体"/>
                <w:b w:val="0"/>
                <w:color w:val="000000"/>
                <w:sz w:val="20"/>
              </w:rPr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后端接口：desktop-app/sidecar/api.py；</w:t>
            </w:r>
          </w:p>
          <w:p w14:paraId="6CE769CA">
            <w:pPr>
              <w:spacing w:before="0" w:after="0" w:line="259" w:lineRule="auto"/>
              <w:rPr>
                <w:rFonts w:ascii="Calibri" w:hAnsi="Calibri" w:eastAsia="宋体"/>
                <w:b w:val="0"/>
                <w:color w:val="000000"/>
                <w:sz w:val="20"/>
              </w:rPr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服务逻辑：desktop-app/sidecar/services/；</w:t>
            </w:r>
          </w:p>
          <w:p w14:paraId="55648604">
            <w:pPr>
              <w:spacing w:before="0" w:after="0" w:line="259" w:lineRule="auto"/>
              <w:rPr>
                <w:rFonts w:ascii="Calibri" w:hAnsi="Calibri" w:eastAsia="宋体"/>
                <w:b w:val="0"/>
                <w:color w:val="000000"/>
                <w:sz w:val="20"/>
              </w:rPr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测试：desktop-app/sidecar/tests/；</w:t>
            </w:r>
          </w:p>
          <w:p w14:paraId="1AEEDBEA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样例数据：desktop-app/examples/。</w:t>
            </w:r>
          </w:p>
        </w:tc>
      </w:tr>
    </w:tbl>
    <w:p w14:paraId="2E9C618D">
      <w:pPr>
        <w:pStyle w:val="3"/>
        <w:spacing w:before="280" w:after="160" w:line="264" w:lineRule="auto"/>
        <w:rPr>
          <w:rFonts w:hint="eastAsia" w:eastAsia="黑体"/>
          <w:lang w:eastAsia="zh-CN"/>
        </w:rPr>
      </w:pPr>
      <w:r>
        <w:rPr>
          <w:rFonts w:ascii="Calibri" w:hAnsi="Calibri" w:eastAsia="黑体"/>
          <w:b/>
          <w:color w:val="000000"/>
          <w:sz w:val="32"/>
        </w:rPr>
        <w:t>角色分工</w:t>
      </w:r>
      <w:r>
        <w:rPr>
          <w:rFonts w:hint="eastAsia" w:ascii="Calibri" w:hAnsi="Calibri" w:eastAsia="黑体"/>
          <w:b/>
          <w:color w:val="000000"/>
          <w:sz w:val="32"/>
          <w:lang w:val="en-US" w:eastAsia="zh-CN"/>
        </w:rPr>
        <w:t>一</w:t>
      </w:r>
      <w:r>
        <w:rPr>
          <w:rFonts w:ascii="Calibri" w:hAnsi="Calibri" w:eastAsia="黑体"/>
          <w:b/>
          <w:color w:val="000000"/>
          <w:sz w:val="32"/>
        </w:rPr>
        <w:t>览</w:t>
      </w:r>
    </w:p>
    <w:tbl>
      <w:tblPr>
        <w:tblStyle w:val="33"/>
        <w:tblW w:w="9360" w:type="dxa"/>
        <w:tblInd w:w="12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600"/>
        <w:gridCol w:w="2900"/>
        <w:gridCol w:w="1600"/>
        <w:gridCol w:w="2060"/>
      </w:tblGrid>
      <w:tr w14:paraId="324885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52F1F">
            <w:pPr>
              <w:spacing w:before="0" w:after="0" w:line="259" w:lineRule="auto"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成员</w:t>
            </w:r>
          </w:p>
        </w:tc>
        <w:tc>
          <w:tcPr>
            <w:tcW w:w="1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FFA28">
            <w:pPr>
              <w:spacing w:before="0" w:after="0" w:line="259" w:lineRule="auto"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角色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51768">
            <w:pPr>
              <w:spacing w:before="0" w:after="0" w:line="259" w:lineRule="auto"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主要职责</w:t>
            </w:r>
          </w:p>
        </w:tc>
        <w:tc>
          <w:tcPr>
            <w:tcW w:w="1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849ED">
            <w:pPr>
              <w:spacing w:before="0" w:after="0" w:line="259" w:lineRule="auto"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主要交付对象</w:t>
            </w:r>
          </w:p>
        </w:tc>
        <w:tc>
          <w:tcPr>
            <w:tcW w:w="206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B63FE">
            <w:pPr>
              <w:spacing w:before="0" w:after="0" w:line="259" w:lineRule="auto"/>
            </w:pPr>
            <w:r>
              <w:rPr>
                <w:rFonts w:ascii="Calibri" w:hAnsi="Calibri" w:eastAsia="宋体"/>
                <w:b/>
                <w:color w:val="000000"/>
                <w:sz w:val="19"/>
              </w:rPr>
              <w:t>合格标准</w:t>
            </w:r>
          </w:p>
        </w:tc>
      </w:tr>
      <w:tr w14:paraId="394C2F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6B1D1">
            <w:pPr>
              <w:spacing w:before="0" w:after="0" w:line="259" w:lineRule="auto"/>
            </w:pPr>
            <w:r>
              <w:rPr>
                <w:rFonts w:hint="eastAsia" w:ascii="Calibri" w:hAnsi="Calibri" w:eastAsia="宋体"/>
                <w:b w:val="0"/>
                <w:color w:val="000000"/>
                <w:sz w:val="19"/>
              </w:rPr>
              <w:t>郭奕苏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B333C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前端交互负责人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0FBD5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页面交互、结果展示、文件选择、对话区、变量展示、报告展示与演示截图。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93623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木怡帆；杨倩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62C16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页面能按接口跑通，截图和问题反馈清楚，用户操作路径完整。</w:t>
            </w:r>
          </w:p>
        </w:tc>
      </w:tr>
      <w:tr w14:paraId="6878A5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8916F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木怡帆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B48D5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后端接口与联调负责人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D8098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接口口径、接口测试、联调安排、问题分派、打包前检查。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16AE9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全组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13CA0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接口字段稳定，问题能定位到前端、后端、Prompt、模型规则或测试数据。</w:t>
            </w:r>
          </w:p>
        </w:tc>
      </w:tr>
      <w:tr w14:paraId="045905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AA9F4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陆天瑜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7D452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大模型 Prompt 负责人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6372D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变量识别、模型推荐、结果解释、代码解释、报告生成等 Prompt。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3808D0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木怡帆；丁玉明；马奕锦；郭奕芬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8A1D7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Prompt 输入输出格式明确，有测试样例和失败情况说明。</w:t>
            </w:r>
          </w:p>
        </w:tc>
      </w:tr>
      <w:tr w14:paraId="1EA7DC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4ABE1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丁玉明、</w:t>
            </w:r>
            <w:r>
              <w:rPr>
                <w:rFonts w:hint="eastAsia" w:ascii="Calibri" w:hAnsi="Calibri" w:eastAsia="宋体"/>
                <w:b w:val="0"/>
                <w:color w:val="000000"/>
                <w:sz w:val="19"/>
              </w:rPr>
              <w:t>马志锦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91AEF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计量模型规则负责人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2F0C6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OLS、Logit、DID、RDD、IV-2SLS、面板模型的适用条件、变量要求和检查清单。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0F9CB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木怡帆；陆天瑜；杨倩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596FF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每个模型都有适用条件、不适用提示、变量要求和解释模板。</w:t>
            </w:r>
          </w:p>
        </w:tc>
      </w:tr>
      <w:tr w14:paraId="7643FD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C82A7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杨倩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2199A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测试样例与集成负责人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96CE2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测试数据、研究问题、预期模型、预期结果、Demo 流程和集成记录。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A2F77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木怡帆；郭奕芬；全组</w:t>
            </w:r>
          </w:p>
        </w:tc>
        <w:tc>
          <w:tcPr>
            <w:tcW w:w="2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1F202">
            <w:pPr>
              <w:spacing w:before="0" w:after="0" w:line="259" w:lineRule="auto"/>
            </w:pPr>
            <w:r>
              <w:rPr>
                <w:rFonts w:ascii="Calibri" w:hAnsi="Calibri" w:eastAsia="宋体"/>
                <w:b w:val="0"/>
                <w:color w:val="000000"/>
                <w:sz w:val="19"/>
              </w:rPr>
              <w:t>样例能覆盖主要模型，Demo 能完整跑通，问题记录可复现。</w:t>
            </w:r>
          </w:p>
        </w:tc>
      </w:tr>
    </w:tbl>
    <w:p w14:paraId="4B3A8342">
      <w:pPr>
        <w:spacing w:before="0" w:after="40" w:line="264" w:lineRule="auto"/>
      </w:pPr>
    </w:p>
    <w:p w14:paraId="7645856B">
      <w:pPr>
        <w:pStyle w:val="3"/>
        <w:spacing w:before="280" w:after="160" w:line="264" w:lineRule="auto"/>
      </w:pPr>
      <w:r>
        <w:rPr>
          <w:rFonts w:ascii="Calibri" w:hAnsi="Calibri" w:eastAsia="黑体"/>
          <w:b/>
          <w:color w:val="000000"/>
          <w:sz w:val="32"/>
        </w:rPr>
        <w:t>模块对接</w:t>
      </w:r>
      <w:r>
        <w:rPr>
          <w:rFonts w:hint="eastAsia" w:ascii="Calibri" w:hAnsi="Calibri" w:eastAsia="黑体"/>
          <w:b/>
          <w:color w:val="000000"/>
          <w:sz w:val="32"/>
          <w:lang w:val="en-US" w:eastAsia="zh-CN"/>
        </w:rPr>
        <w:t>大概</w:t>
      </w:r>
      <w:r>
        <w:rPr>
          <w:rFonts w:ascii="Calibri" w:hAnsi="Calibri" w:eastAsia="黑体"/>
          <w:b/>
          <w:color w:val="000000"/>
          <w:sz w:val="32"/>
        </w:rPr>
        <w:t>流程</w:t>
      </w:r>
    </w:p>
    <w:p w14:paraId="12DD60FD">
      <w:pPr>
        <w:pStyle w:val="14"/>
        <w:spacing w:before="0" w:after="80" w:line="276" w:lineRule="auto"/>
      </w:pPr>
      <w:r>
        <w:rPr>
          <w:rFonts w:ascii="Calibri" w:hAnsi="Calibri" w:eastAsia="宋体"/>
          <w:b w:val="0"/>
          <w:color w:val="31859C" w:themeColor="accent5" w:themeShade="BF"/>
          <w:sz w:val="22"/>
        </w:rPr>
        <w:t>计量模型规则负责人</w:t>
      </w:r>
      <w:r>
        <w:rPr>
          <w:rFonts w:ascii="Calibri" w:hAnsi="Calibri" w:eastAsia="宋体"/>
          <w:b w:val="0"/>
          <w:color w:val="000000"/>
          <w:sz w:val="22"/>
        </w:rPr>
        <w:t>先交模型规则初稿，明确不同计量模型何时推荐、何时不推荐。</w:t>
      </w:r>
    </w:p>
    <w:p w14:paraId="5C22150A">
      <w:pPr>
        <w:pStyle w:val="14"/>
        <w:spacing w:before="0" w:after="80" w:line="276" w:lineRule="auto"/>
      </w:pPr>
      <w:r>
        <w:rPr>
          <w:rFonts w:ascii="Calibri" w:hAnsi="Calibri" w:eastAsia="宋体"/>
          <w:b w:val="0"/>
          <w:color w:val="31859C" w:themeColor="accent5" w:themeShade="BF"/>
          <w:sz w:val="22"/>
        </w:rPr>
        <w:t>大模型 Prompt 负责人</w:t>
      </w:r>
      <w:r>
        <w:rPr>
          <w:rFonts w:ascii="Calibri" w:hAnsi="Calibri" w:eastAsia="宋体"/>
          <w:b w:val="0"/>
          <w:color w:val="000000"/>
          <w:sz w:val="22"/>
        </w:rPr>
        <w:t>根据模型规则整理 Prompt，保证小计的回答能解释变量、模型选择和结果含义。</w:t>
      </w:r>
    </w:p>
    <w:p w14:paraId="7D59D288">
      <w:pPr>
        <w:pStyle w:val="14"/>
        <w:spacing w:before="0" w:after="80" w:line="276" w:lineRule="auto"/>
      </w:pPr>
      <w:r>
        <w:rPr>
          <w:rFonts w:ascii="Calibri" w:hAnsi="Calibri" w:eastAsia="宋体"/>
          <w:b w:val="0"/>
          <w:color w:val="31859C" w:themeColor="accent5" w:themeShade="BF"/>
          <w:sz w:val="22"/>
        </w:rPr>
        <w:t>后端接口与联调负责人</w:t>
      </w:r>
      <w:r>
        <w:rPr>
          <w:rFonts w:ascii="Calibri" w:hAnsi="Calibri" w:eastAsia="宋体"/>
          <w:b w:val="0"/>
          <w:color w:val="000000"/>
          <w:sz w:val="22"/>
        </w:rPr>
        <w:t>根据规则和 Prompt 固定接口字段，并给前端提供可调用的接口说明。</w:t>
      </w:r>
    </w:p>
    <w:p w14:paraId="30A7836A">
      <w:pPr>
        <w:pStyle w:val="14"/>
        <w:spacing w:before="0" w:after="80" w:line="276" w:lineRule="auto"/>
      </w:pPr>
      <w:r>
        <w:rPr>
          <w:rFonts w:ascii="Calibri" w:hAnsi="Calibri" w:eastAsia="宋体"/>
          <w:b w:val="0"/>
          <w:color w:val="31859C" w:themeColor="accent5" w:themeShade="BF"/>
          <w:sz w:val="22"/>
        </w:rPr>
        <w:t>前端交互负责人</w:t>
      </w:r>
      <w:r>
        <w:rPr>
          <w:rFonts w:ascii="Calibri" w:hAnsi="Calibri" w:eastAsia="宋体"/>
          <w:b w:val="0"/>
          <w:color w:val="000000"/>
          <w:sz w:val="22"/>
        </w:rPr>
        <w:t>按接口完成页面交互和结果展示，遇到字段不够或格式不顺时提交前端需求表。</w:t>
      </w:r>
    </w:p>
    <w:p w14:paraId="1CE0DD29">
      <w:pPr>
        <w:pStyle w:val="14"/>
        <w:spacing w:before="0" w:after="80" w:line="276" w:lineRule="auto"/>
      </w:pPr>
      <w:r>
        <w:rPr>
          <w:rFonts w:ascii="Calibri" w:hAnsi="Calibri" w:eastAsia="宋体"/>
          <w:b w:val="0"/>
          <w:color w:val="31859C" w:themeColor="accent5" w:themeShade="BF"/>
          <w:sz w:val="22"/>
        </w:rPr>
        <w:t>测试样例与集成负责人</w:t>
      </w:r>
      <w:r>
        <w:rPr>
          <w:rFonts w:ascii="Calibri" w:hAnsi="Calibri" w:eastAsia="宋体"/>
          <w:b w:val="0"/>
          <w:color w:val="000000"/>
          <w:sz w:val="22"/>
        </w:rPr>
        <w:t>用真实感更强的数据集跑完整流程，记录问题并交给木怡帆分派修复。</w:t>
      </w:r>
    </w:p>
    <w:p w14:paraId="192DE4EC">
      <w:pPr>
        <w:spacing w:before="80" w:after="120" w:line="264" w:lineRule="auto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05D2A">
    <w:pPr>
      <w:pStyle w:val="24"/>
      <w:spacing w:before="0" w:after="0" w:line="240" w:lineRule="auto"/>
      <w:jc w:val="center"/>
    </w:pPr>
    <w:r>
      <w:rPr>
        <w:rFonts w:ascii="Calibri" w:hAnsi="Calibri" w:eastAsia="宋体"/>
        <w:b w:val="0"/>
        <w:color w:val="000000"/>
        <w:sz w:val="18"/>
      </w:rPr>
      <w:t>内部协作文件 | 交付前请按自查清单核对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6F0A4">
    <w:pPr>
      <w:pStyle w:val="25"/>
      <w:spacing w:before="0" w:after="0" w:line="240" w:lineRule="auto"/>
    </w:pPr>
    <w:r>
      <w:rPr>
        <w:rFonts w:ascii="Calibri" w:hAnsi="Calibri" w:eastAsia="宋体"/>
        <w:b w:val="0"/>
        <w:color w:val="000000"/>
        <w:sz w:val="18"/>
      </w:rPr>
      <w:t>《小计》项目开发分工与交付规范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64DC4"/>
    <w:rsid w:val="7C32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宋体" w:hAnsi="宋体" w:eastAsia="宋体"/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宋体" w:hAnsi="宋体" w:eastAsia="宋体"/>
      <w:color w:val="000000"/>
    </w:r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</w:r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</w:r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864</Words>
  <Characters>1083</Characters>
  <Lines>0</Lines>
  <Paragraphs>0</Paragraphs>
  <TotalTime>16</TotalTime>
  <ScaleCrop>false</ScaleCrop>
  <LinksUpToDate>false</LinksUpToDate>
  <CharactersWithSpaces>1098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木怡帆</dc:creator>
  <cp:keywords>小计;计量经济学;项目分工;交付规范</cp:keywords>
  <cp:lastModifiedBy>木怡帆</cp:lastModifiedBy>
  <dcterms:modified xsi:type="dcterms:W3CDTF">2026-07-02T14:10:23Z</dcterms:modified>
  <dc:subject>项目分工、交付物模板、对接流程</dc:subject>
  <dc:title>小计项目开发分工与交付规范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eyJoZGlkIjoiNWY1MmQ2YzczYTUzMjBjZmRjOTZiMDAwYmVjYjZjYzgiLCJ1c2VySWQiOiIxNjk2MDY5ODUyIn0=</vt:lpwstr>
  </property>
  <property fmtid="{D5CDD505-2E9C-101B-9397-08002B2CF9AE}" pid="3" name="KSOProductBuildVer">
    <vt:lpwstr>2052-12.1.0.26375</vt:lpwstr>
  </property>
  <property fmtid="{D5CDD505-2E9C-101B-9397-08002B2CF9AE}" pid="4" name="ICV">
    <vt:lpwstr>2145B592A8A9405A87EDBFCE98113DA4_12</vt:lpwstr>
  </property>
</Properties>
</file>