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Integración UKG Pro → SQL Server — Propuesta Técnica</w:t>
      </w:r>
    </w:p>
    <w:p>
      <w:pPr>
        <w:pStyle w:val="FirstParagraph"/>
      </w:pPr>
      <w:r>
        <w:t xml:space="preserve">GOBIERNO DE PUERTO RICO</w:t>
      </w:r>
    </w:p>
    <w:p>
      <w:pPr>
        <w:pStyle w:val="BodyText"/>
      </w:pPr>
      <w:r>
        <w:t xml:space="preserve">Integración UKG Pro HCM</w:t>
      </w:r>
      <w:r>
        <w:br/>
      </w:r>
      <w:r>
        <w:t xml:space="preserve">→ SQL Server</w:t>
      </w:r>
    </w:p>
    <w:p>
      <w:pPr>
        <w:pStyle w:val="BodyText"/>
      </w:pPr>
      <w:r>
        <w:t xml:space="preserve">Propuesta Técnica — Diseño de ETL</w:t>
      </w:r>
    </w:p>
    <w:p>
      <w:pPr>
        <w:pStyle w:val="BodyText"/>
      </w:pPr>
      <w:r>
        <w:t xml:space="preserve">Fecha: 22 de June de 2026</w:t>
      </w:r>
      <w:r>
        <w:br/>
      </w:r>
      <w:r>
        <w:t xml:space="preserve">Versión: 1.1 (nuevo: Sección 7 — Modelo Read-Only)</w:t>
      </w:r>
      <w:r>
        <w:br/>
      </w:r>
      <w:r>
        <w:t xml:space="preserve">Clasificación: Uso Interno — Gobierno de Puerto Rico</w:t>
      </w:r>
      <w:r>
        <w:br/>
      </w:r>
      <w:r>
        <w:br/>
      </w:r>
      <w:r>
        <w:t xml:space="preserve">Preparado por: Equipo de Desarrollo</w:t>
      </w:r>
      <w:r>
        <w:br/>
      </w:r>
      <w:r>
        <w:t xml:space="preserve">Reunión Técnica: OGP · UKG · Deloitte</w:t>
      </w:r>
    </w:p>
    <w:bookmarkStart w:id="20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Con el contrato de UKG/Kronos firmado, se ha iniciado la etapa de diseño de las</w:t>
      </w:r>
      <w:r>
        <w:t xml:space="preserve"> </w:t>
      </w:r>
      <w:r>
        <w:t xml:space="preserve">integraciones del segmento HCM. UKG propone un modelo de una integración por tenant</w:t>
      </w:r>
      <w:r>
        <w:t xml:space="preserve"> </w:t>
      </w:r>
      <w:r>
        <w:t xml:space="preserve">(un archivo por agencia), con reconstrucción del layout por cada tenant.</w:t>
      </w:r>
      <w:r>
        <w:t xml:space="preserve"> </w:t>
      </w:r>
      <w:r>
        <w:t xml:space="preserve">Ese enfoque puede inflar significativamente los costos, el tiempo de desarrollo y el</w:t>
      </w:r>
      <w:r>
        <w:t xml:space="preserve"> </w:t>
      </w:r>
      <w:r>
        <w:t xml:space="preserve">alcance del proyecto.</w:t>
      </w:r>
    </w:p>
    <w:p>
      <w:pPr>
        <w:pStyle w:val="BodyText"/>
      </w:pPr>
      <w:r>
        <w:t xml:space="preserve">Este documento propone que OGP asuma el diseño y construcción de la integración con su</w:t>
      </w:r>
      <w:r>
        <w:t xml:space="preserve"> </w:t>
      </w:r>
      <w:r>
        <w:t xml:space="preserve">equipo técnico, utilizando un pipeline ETL propio que recibe un único archivo CSV estándar</w:t>
      </w:r>
      <w:r>
        <w:t xml:space="preserve"> </w:t>
      </w:r>
      <w:r>
        <w:t xml:space="preserve">desde UKG Pro y lo procesa hacia SQL Server. Este enfoque:</w:t>
      </w:r>
    </w:p>
    <w:p>
      <w:pPr>
        <w:pStyle w:val="Compact"/>
        <w:numPr>
          <w:ilvl w:val="0"/>
          <w:numId w:val="1001"/>
        </w:numPr>
      </w:pPr>
      <w:r>
        <w:t xml:space="preserve">Elimina la dependencia del modelo per-tenant de UKG.</w:t>
      </w:r>
    </w:p>
    <w:p>
      <w:pPr>
        <w:pStyle w:val="Compact"/>
        <w:numPr>
          <w:ilvl w:val="0"/>
          <w:numId w:val="1001"/>
        </w:numPr>
      </w:pPr>
      <w:r>
        <w:t xml:space="preserve">Mantiene el estándar de integraciones mínimas establecido por Deloitte.</w:t>
      </w:r>
    </w:p>
    <w:p>
      <w:pPr>
        <w:pStyle w:val="Compact"/>
        <w:numPr>
          <w:ilvl w:val="0"/>
          <w:numId w:val="1001"/>
        </w:numPr>
      </w:pPr>
      <w:r>
        <w:t xml:space="preserve">Reduce costos recurrentes (sin Boomi, sin licencias adicionales).</w:t>
      </w:r>
    </w:p>
    <w:p>
      <w:pPr>
        <w:pStyle w:val="Compact"/>
        <w:numPr>
          <w:ilvl w:val="0"/>
          <w:numId w:val="1001"/>
        </w:numPr>
      </w:pPr>
      <w:r>
        <w:t xml:space="preserve">Ofrece control total sobre seguridad, encriptación y auditoría.</w:t>
      </w:r>
    </w:p>
    <w:p>
      <w:pPr>
        <w:pStyle w:val="Compact"/>
        <w:numPr>
          <w:ilvl w:val="0"/>
          <w:numId w:val="1001"/>
        </w:numPr>
      </w:pPr>
      <w:r>
        <w:t xml:space="preserve">Cumple con la Ley 126-2012 de Firma Electrónica del Gobierno de Puerto Rico.</w:t>
      </w:r>
    </w:p>
    <w:bookmarkEnd w:id="20"/>
    <w:bookmarkStart w:id="23" w:name="arquitectura-propuesta"/>
    <w:p>
      <w:pPr>
        <w:pStyle w:val="Heading1"/>
      </w:pPr>
      <w:r>
        <w:t xml:space="preserve">2. Arquitectura Propuesta</w:t>
      </w:r>
    </w:p>
    <w:p>
      <w:pPr>
        <w:pStyle w:val="FirstParagraph"/>
      </w:pPr>
      <w:r>
        <w:t xml:space="preserve">La integración sigue un modelo SFTP Push + Python ETL + SQL Server Staging con MERGE atómico.</w:t>
      </w:r>
      <w:r>
        <w:t xml:space="preserve"> </w:t>
      </w:r>
      <w:r>
        <w:t xml:space="preserve">El diseño minimiza la carga en memoria (~15 MB RAM) y garantiza resiliencia ante fallos.</w:t>
      </w:r>
    </w:p>
    <w:bookmarkStart w:id="21" w:name="flujo-de-datos"/>
    <w:p>
      <w:pPr>
        <w:pStyle w:val="Heading2"/>
      </w:pPr>
      <w:r>
        <w:t xml:space="preserve">2.1 Flujo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UKG Pro HCM</w:t>
            </w:r>
          </w:p>
        </w:tc>
        <w:tc>
          <w:tcPr/>
          <w:p>
            <w:pPr>
              <w:pStyle w:val="Compact"/>
            </w:pPr>
            <w:r>
              <w:t xml:space="preserve">UKG</w:t>
            </w:r>
          </w:p>
        </w:tc>
        <w:tc>
          <w:tcPr/>
          <w:p>
            <w:pPr>
              <w:pStyle w:val="Compact"/>
            </w:pPr>
            <w:r>
              <w:t xml:space="preserve">Genera reporte CSV diario con layout estándar Deloitte.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BI Publisher / SFTP</w:t>
            </w:r>
          </w:p>
        </w:tc>
        <w:tc>
          <w:tcPr/>
          <w:p>
            <w:pPr>
              <w:pStyle w:val="Compact"/>
            </w:pPr>
            <w:r>
              <w:t xml:space="preserve">UKG</w:t>
            </w:r>
          </w:p>
        </w:tc>
        <w:tc>
          <w:tcPr/>
          <w:p>
            <w:pPr>
              <w:pStyle w:val="Compact"/>
            </w:pPr>
            <w:r>
              <w:t xml:space="preserve">Deposita archivo CSV en SFTP /incoming/ a las 2 AM AST.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ukg_pipeline.py</w:t>
            </w:r>
          </w:p>
        </w:tc>
        <w:tc>
          <w:tcPr/>
          <w:p>
            <w:pPr>
              <w:pStyle w:val="Compact"/>
            </w:pPr>
            <w:r>
              <w:t xml:space="preserve">OGP/TI</w:t>
            </w:r>
          </w:p>
        </w:tc>
        <w:tc>
          <w:tcPr/>
          <w:p>
            <w:pPr>
              <w:pStyle w:val="Compact"/>
            </w:pPr>
            <w:r>
              <w:t xml:space="preserve">Orquestador: lee CSV, valida, encripta SSN, carga staging.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ukg_loader.py</w:t>
            </w:r>
          </w:p>
        </w:tc>
        <w:tc>
          <w:tcPr/>
          <w:p>
            <w:pPr>
              <w:pStyle w:val="Compact"/>
            </w:pPr>
            <w:r>
              <w:t xml:space="preserve">OGP/TI</w:t>
            </w:r>
          </w:p>
        </w:tc>
        <w:tc>
          <w:tcPr/>
          <w:p>
            <w:pPr>
              <w:pStyle w:val="Compact"/>
            </w:pPr>
            <w:r>
              <w:t xml:space="preserve">Streaming CSV → SQL Server staging batch (1K filas).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crypto_utils.py</w:t>
            </w:r>
          </w:p>
        </w:tc>
        <w:tc>
          <w:tcPr/>
          <w:p>
            <w:pPr>
              <w:pStyle w:val="Compact"/>
            </w:pPr>
            <w:r>
              <w:t xml:space="preserve">OGP/TI</w:t>
            </w:r>
          </w:p>
        </w:tc>
        <w:tc>
          <w:tcPr/>
          <w:p>
            <w:pPr>
              <w:pStyle w:val="Compact"/>
            </w:pPr>
            <w:r>
              <w:t xml:space="preserve">AES-256-GCM: encripta SSN ANTES de tocar la base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MERGE Procedure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MERGE atómico staging → tablas destino (agencias, puestos, empleados).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SHA-256 Audit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Hash chain criptográfico por batch — Ley 126-2012.</w:t>
            </w:r>
          </w:p>
        </w:tc>
      </w:tr>
    </w:tbl>
    <w:bookmarkEnd w:id="21"/>
    <w:bookmarkStart w:id="22" w:name="stack-tecnológico"/>
    <w:p>
      <w:pPr>
        <w:pStyle w:val="Heading2"/>
      </w:pPr>
      <w:r>
        <w:t xml:space="preserve">2.2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UKG Pro HCM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Deloitte Standard Layout — 22 columnas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Key-pair auth, carpeta /incoming/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3.12+</w:t>
            </w:r>
          </w:p>
        </w:tc>
        <w:tc>
          <w:tcPr/>
          <w:p>
            <w:pPr>
              <w:pStyle w:val="Compact"/>
            </w:pPr>
            <w:r>
              <w:t xml:space="preserve">pyodbc + cryptography, ~15 MB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Encriptación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cryptography 41+</w:t>
            </w:r>
          </w:p>
        </w:tc>
        <w:tc>
          <w:tcPr/>
          <w:p>
            <w:pPr>
              <w:pStyle w:val="Compact"/>
            </w:pPr>
            <w:r>
              <w:t xml:space="preserve">Nonce aleatorio por fila,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2022+</w:t>
            </w:r>
          </w:p>
        </w:tc>
        <w:tc>
          <w:tcPr/>
          <w:p>
            <w:pPr>
              <w:pStyle w:val="Compact"/>
            </w:pPr>
            <w:r>
              <w:t xml:space="preserve">ODBC Driver 18, TLS Encrypt=yes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SQL HASHBYTES</w:t>
            </w:r>
          </w:p>
        </w:tc>
        <w:tc>
          <w:tcPr/>
          <w:p>
            <w:pPr>
              <w:pStyle w:val="Compact"/>
            </w:pPr>
            <w:r>
              <w:t xml:space="preserve">Hash chain por batch — Ley 126-2012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Orquestación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Schedule diario 2 AM AST</w:t>
            </w:r>
          </w:p>
        </w:tc>
      </w:tr>
    </w:tbl>
    <w:bookmarkEnd w:id="22"/>
    <w:bookmarkEnd w:id="23"/>
    <w:bookmarkStart w:id="24" w:name="entregable-requerido-de-ukg"/>
    <w:p>
      <w:pPr>
        <w:pStyle w:val="Heading1"/>
      </w:pPr>
      <w:r>
        <w:t xml:space="preserve">3. Entregable Requerido de UKG</w:t>
      </w:r>
    </w:p>
    <w:p>
      <w:pPr>
        <w:pStyle w:val="FirstParagraph"/>
      </w:pPr>
      <w:r>
        <w:rPr>
          <w:b/>
          <w:bCs/>
        </w:rPr>
        <w:t xml:space="preserve">Para que el pipeline funcione, UKG debe proporcionar ÚNICAMENTE lo siguiente.</w:t>
      </w:r>
      <w:r>
        <w:rPr>
          <w:b/>
          <w:bCs/>
        </w:rPr>
        <w:t xml:space="preserve"> </w:t>
      </w:r>
      <w:r>
        <w:rPr>
          <w:b/>
          <w:bCs/>
        </w:rPr>
        <w:t xml:space="preserve">No se requiere Boomi, ni integraciones por tenant, ni layouts personalizados.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Archivo CSV diario</w:t>
            </w:r>
          </w:p>
        </w:tc>
        <w:tc>
          <w:tcPr/>
          <w:p>
            <w:pPr>
              <w:pStyle w:val="Compact"/>
            </w:pPr>
            <w:r>
              <w:t xml:space="preserve">Un solo archivo con TODAS las agencias. Layout estándar Deloitte.</w:t>
            </w:r>
          </w:p>
        </w:tc>
        <w:tc>
          <w:tcPr/>
          <w:p>
            <w:pPr>
              <w:pStyle w:val="Compact"/>
            </w:pPr>
            <w:r>
              <w:t xml:space="preserve">CSV, UTF-8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Columnas requeridas</w:t>
            </w:r>
          </w:p>
        </w:tc>
        <w:tc>
          <w:tcPr/>
          <w:p>
            <w:pPr>
              <w:pStyle w:val="Compact"/>
            </w:pPr>
            <w:r>
              <w:t xml:space="preserve">SSN, EEID, FirstName, LastName, MiddleName, PositionCode, PositionTitle, DepartmentCode, DepartmentName, CostCenter, HireDate, RehireDate, TerminationDate, Status, Email, Phone, SupervisorName, SupervisorEmail, PayRate, PayType, FLSAStatus, LocationCode</w:t>
            </w:r>
          </w:p>
        </w:tc>
        <w:tc>
          <w:tcPr/>
          <w:p>
            <w:pPr>
              <w:pStyle w:val="Compact"/>
            </w:pPr>
            <w:r>
              <w:t xml:space="preserve">22 columnas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Diaria, programada a las 2:00 AM AST</w:t>
            </w:r>
          </w:p>
        </w:tc>
        <w:tc>
          <w:tcPr/>
          <w:p>
            <w:pPr>
              <w:pStyle w:val="Compact"/>
            </w:pPr>
            <w:r>
              <w:t xml:space="preserve">Cron/Schedule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SFTP push a nuestro servidor. Carpeta: /incoming/</w:t>
            </w:r>
          </w:p>
        </w:tc>
        <w:tc>
          <w:tcPr/>
          <w:p>
            <w:pPr>
              <w:pStyle w:val="Compact"/>
            </w:pPr>
            <w:r>
              <w:t xml:space="preserve">SFTP (TLS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Credenciales SFTP</w:t>
            </w:r>
          </w:p>
        </w:tc>
        <w:tc>
          <w:tcPr/>
          <w:p>
            <w:pPr>
              <w:pStyle w:val="Compact"/>
            </w:pPr>
            <w:r>
              <w:t xml:space="preserve">Host, puerto, usuario, key pair pública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Mapeo de Status</w:t>
            </w:r>
          </w:p>
        </w:tc>
        <w:tc>
          <w:tcPr/>
          <w:p>
            <w:pPr>
              <w:pStyle w:val="Compact"/>
            </w:pPr>
            <w:r>
              <w:t xml:space="preserve">ACTIVE → ACTIVO, TERMINATED → TERMINADO, ON_LEAVE → LICENCIA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</w:tr>
    </w:tbl>
    <w:p>
      <w:pPr>
        <w:pStyle w:val="BodyText"/>
      </w:pPr>
      <w:r>
        <w:t xml:space="preserve">IMPORTANTE: No se requiere Boomi, Dell Boomi AtomSphere, ni ningún middleware de UKG.</w:t>
      </w:r>
      <w:r>
        <w:t xml:space="preserve"> </w:t>
      </w:r>
      <w:r>
        <w:t xml:space="preserve">El pipeline ETL desarrollado por OGP recibe el CSV directamente del SFTP y lo procesa</w:t>
      </w:r>
      <w:r>
        <w:t xml:space="preserve"> </w:t>
      </w:r>
      <w:r>
        <w:t xml:space="preserve">sin intermediarios.</w:t>
      </w:r>
    </w:p>
    <w:bookmarkEnd w:id="24"/>
    <w:bookmarkStart w:id="28" w:name="seguridad-y-compliance-legal"/>
    <w:p>
      <w:pPr>
        <w:pStyle w:val="Heading1"/>
      </w:pPr>
      <w:r>
        <w:t xml:space="preserve">4. Seguridad y Compliance Legal</w:t>
      </w:r>
    </w:p>
    <w:bookmarkStart w:id="25" w:name="encriptación-aes-256-gcm-ssn"/>
    <w:p>
      <w:pPr>
        <w:pStyle w:val="Heading2"/>
      </w:pPr>
      <w:r>
        <w:t xml:space="preserve">4.1 Encriptación AES-256-GCM (SSN)</w:t>
      </w:r>
    </w:p>
    <w:p>
      <w:pPr>
        <w:pStyle w:val="FirstParagraph"/>
      </w:pPr>
      <w:r>
        <w:t xml:space="preserve">El Social Security Number (SSN) se encripta en la capa de aplicación ANTES de que</w:t>
      </w:r>
      <w:r>
        <w:t xml:space="preserve"> </w:t>
      </w:r>
      <w:r>
        <w:t xml:space="preserve">cualquier dato toque la base de datos. El texto plano del SSN nunca existe en staging</w:t>
      </w:r>
      <w:r>
        <w:t xml:space="preserve"> </w:t>
      </w:r>
      <w:r>
        <w:t xml:space="preserve">ni en las tablas destino — solo ciphertext en formato base64.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SSN</w:t>
            </w:r>
          </w:p>
        </w:tc>
        <w:tc>
          <w:tcPr/>
          <w:p>
            <w:pPr>
              <w:pStyle w:val="Compact"/>
            </w:pPr>
            <w:r>
              <w:t xml:space="preserve">Protección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entrante (SFTP)</w:t>
            </w:r>
          </w:p>
        </w:tc>
        <w:tc>
          <w:tcPr/>
          <w:p>
            <w:pPr>
              <w:pStyle w:val="Compact"/>
            </w:pPr>
            <w:r>
              <w:t xml:space="preserve">583-12-3456 (plaintext)</w:t>
            </w:r>
          </w:p>
        </w:tc>
        <w:tc>
          <w:tcPr/>
          <w:p>
            <w:pPr>
              <w:pStyle w:val="Compact"/>
            </w:pPr>
            <w:r>
              <w:t xml:space="preserve">TLS 1.3 en tránsito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(encrypt)</w:t>
            </w:r>
          </w:p>
        </w:tc>
        <w:tc>
          <w:tcPr/>
          <w:p>
            <w:pPr>
              <w:pStyle w:val="Compact"/>
            </w:pPr>
            <w:r>
              <w:t xml:space="preserve">AES-256-GCM → ciphertext</w:t>
            </w:r>
          </w:p>
        </w:tc>
        <w:tc>
          <w:tcPr/>
          <w:p>
            <w:pPr>
              <w:pStyle w:val="Compact"/>
            </w:pPr>
            <w:r>
              <w:t xml:space="preserve">Nonce aleatorio 96-bit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(INSERT)</w:t>
            </w:r>
          </w:p>
        </w:tc>
        <w:tc>
          <w:tcPr/>
          <w:p>
            <w:pPr>
              <w:pStyle w:val="Compact"/>
            </w:pPr>
            <w:r>
              <w:t xml:space="preserve">base64(ciphertext) ~88 chars</w:t>
            </w:r>
          </w:p>
        </w:tc>
        <w:tc>
          <w:tcPr/>
          <w:p>
            <w:pPr>
              <w:pStyle w:val="Compact"/>
            </w:pPr>
            <w:r>
              <w:t xml:space="preserve">Nunca plaintext en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(pass-through)</w:t>
            </w:r>
          </w:p>
        </w:tc>
        <w:tc>
          <w:tcPr/>
          <w:p>
            <w:pPr>
              <w:pStyle w:val="Compact"/>
            </w:pPr>
            <w:r>
              <w:t xml:space="preserve">Ciphertext → tablas destino</w:t>
            </w:r>
          </w:p>
        </w:tc>
        <w:tc>
          <w:tcPr/>
          <w:p>
            <w:pPr>
              <w:pStyle w:val="Compact"/>
            </w:pPr>
            <w:r>
              <w:t xml:space="preserve">Sin desencriptar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y auditoría</w:t>
            </w:r>
          </w:p>
        </w:tc>
        <w:tc>
          <w:tcPr/>
          <w:p>
            <w:pPr>
              <w:pStyle w:val="Compact"/>
            </w:pPr>
            <w:r>
              <w:t xml:space="preserve">XXX-XX-1234</w:t>
            </w:r>
          </w:p>
        </w:tc>
        <w:tc>
          <w:tcPr/>
          <w:p>
            <w:pPr>
              <w:pStyle w:val="Compact"/>
            </w:pPr>
            <w:r>
              <w:t xml:space="preserve">Solo últimos 4 dígitos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queue</w:t>
            </w:r>
          </w:p>
        </w:tc>
        <w:tc>
          <w:tcPr/>
          <w:p>
            <w:pPr>
              <w:pStyle w:val="Compact"/>
            </w:pPr>
            <w:r>
              <w:t xml:space="preserve">SSN enmascarado</w:t>
            </w:r>
          </w:p>
        </w:tc>
        <w:tc>
          <w:tcPr/>
          <w:p>
            <w:pPr>
              <w:pStyle w:val="Compact"/>
            </w:pPr>
            <w:r>
              <w:t xml:space="preserve">Sin plaintext ni ciphertext</w:t>
            </w:r>
          </w:p>
        </w:tc>
      </w:tr>
    </w:tbl>
    <w:bookmarkEnd w:id="25"/>
    <w:bookmarkStart w:id="26" w:name="ley-126-2012-firma-electrónica"/>
    <w:p>
      <w:pPr>
        <w:pStyle w:val="Heading2"/>
      </w:pPr>
      <w:r>
        <w:t xml:space="preserve">4.2 Ley 126-2012 — Firma Electrónica</w:t>
      </w:r>
    </w:p>
    <w:p>
      <w:pPr>
        <w:pStyle w:val="Compact"/>
        <w:numPr>
          <w:ilvl w:val="0"/>
          <w:numId w:val="1002"/>
        </w:numPr>
      </w:pPr>
      <w:r>
        <w:t xml:space="preserve">Cada batch de importación genera un hash SHA-256 que encadena todas las filas procesadas.</w:t>
      </w:r>
    </w:p>
    <w:p>
      <w:pPr>
        <w:pStyle w:val="Compact"/>
        <w:numPr>
          <w:ilvl w:val="0"/>
          <w:numId w:val="1002"/>
        </w:numPr>
      </w:pPr>
      <w:r>
        <w:t xml:space="preserve">El hash chain se almacena en dbo.ukg_import_log y permite verificar que los datos no fueron alterados.</w:t>
      </w:r>
    </w:p>
    <w:p>
      <w:pPr>
        <w:pStyle w:val="Compact"/>
        <w:numPr>
          <w:ilvl w:val="0"/>
          <w:numId w:val="1002"/>
        </w:numPr>
      </w:pPr>
      <w:r>
        <w:t xml:space="preserve">Non-repudiation: el hash prueba integridad criptográfica post-importación.</w:t>
      </w:r>
    </w:p>
    <w:p>
      <w:pPr>
        <w:pStyle w:val="Compact"/>
        <w:numPr>
          <w:ilvl w:val="0"/>
          <w:numId w:val="1002"/>
        </w:numPr>
      </w:pPr>
      <w:r>
        <w:t xml:space="preserve">MERGE atómico con XACT_ABORT ON: cualquier error → rollback total de la transacción.</w:t>
      </w:r>
    </w:p>
    <w:bookmarkEnd w:id="26"/>
    <w:bookmarkStart w:id="27" w:name="otras-consideraciones"/>
    <w:p>
      <w:pPr>
        <w:pStyle w:val="Heading2"/>
      </w:pPr>
      <w:r>
        <w:t xml:space="preserve">4.3 Otras Consideraciones</w:t>
      </w:r>
    </w:p>
    <w:p>
      <w:pPr>
        <w:pStyle w:val="Compact"/>
        <w:numPr>
          <w:ilvl w:val="0"/>
          <w:numId w:val="1003"/>
        </w:numPr>
      </w:pPr>
      <w:r>
        <w:t xml:space="preserve">Credenciales de base de datos vía variables de entorno (nunca en código).</w:t>
      </w:r>
    </w:p>
    <w:p>
      <w:pPr>
        <w:pStyle w:val="Compact"/>
        <w:numPr>
          <w:ilvl w:val="0"/>
          <w:numId w:val="1003"/>
        </w:numPr>
      </w:pPr>
      <w:r>
        <w:t xml:space="preserve">Llave de encriptación AES-256 en UKG_ENCRYPTION_KEY (secrets manager).</w:t>
      </w:r>
    </w:p>
    <w:p>
      <w:pPr>
        <w:pStyle w:val="Compact"/>
        <w:numPr>
          <w:ilvl w:val="0"/>
          <w:numId w:val="1003"/>
        </w:numPr>
      </w:pPr>
      <w:r>
        <w:t xml:space="preserve">Conexión SQL Server con ODBC Driver 18 + TLS (Encrypt=yes en producción).</w:t>
      </w:r>
    </w:p>
    <w:p>
      <w:pPr>
        <w:pStyle w:val="Compact"/>
        <w:numPr>
          <w:ilvl w:val="0"/>
          <w:numId w:val="1003"/>
        </w:numPr>
      </w:pPr>
      <w:r>
        <w:t xml:space="preserve">Data residency: todos los datos residen en servidores on-premise del Gobierno de Puerto Rico.</w:t>
      </w:r>
    </w:p>
    <w:bookmarkEnd w:id="27"/>
    <w:bookmarkEnd w:id="28"/>
    <w:bookmarkStart w:id="30" w:name="resiliencia-y-monitoreo"/>
    <w:p>
      <w:pPr>
        <w:pStyle w:val="Heading1"/>
      </w:pPr>
      <w:r>
        <w:t xml:space="preserve">5. Resiliencia y Monitoreo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tras crash</w:t>
            </w:r>
          </w:p>
        </w:tc>
        <w:tc>
          <w:tcPr/>
          <w:p>
            <w:pPr>
              <w:pStyle w:val="Compact"/>
            </w:pPr>
            <w:r>
              <w:t xml:space="preserve">dbo.ukg_checkpoint</w:t>
            </w:r>
          </w:p>
        </w:tc>
        <w:tc>
          <w:tcPr/>
          <w:p>
            <w:pPr>
              <w:pStyle w:val="Compact"/>
            </w:pPr>
            <w:r>
              <w:t xml:space="preserve">Guarda última fila procesada. Reinicio automático desde checkpoint.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letter queue</w:t>
            </w:r>
          </w:p>
        </w:tc>
        <w:tc>
          <w:tcPr/>
          <w:p>
            <w:pPr>
              <w:pStyle w:val="Compact"/>
            </w:pPr>
            <w:r>
              <w:t xml:space="preserve">dbo.ukg_error_log</w:t>
            </w:r>
          </w:p>
        </w:tc>
        <w:tc>
          <w:tcPr/>
          <w:p>
            <w:pPr>
              <w:pStyle w:val="Compact"/>
            </w:pPr>
            <w:r>
              <w:t xml:space="preserve">Filas con error se registran sin detener el pipeline.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Idempotencia</w:t>
            </w:r>
          </w:p>
        </w:tc>
        <w:tc>
          <w:tcPr/>
          <w:p>
            <w:pPr>
              <w:pStyle w:val="Compact"/>
            </w:pPr>
            <w:r>
              <w:t xml:space="preserve">MERGE compound key</w:t>
            </w:r>
          </w:p>
        </w:tc>
        <w:tc>
          <w:tcPr/>
          <w:p>
            <w:pPr>
              <w:pStyle w:val="Compact"/>
            </w:pPr>
            <w:r>
              <w:t xml:space="preserve">Correr 2 veces con mismos datos → mismo resultado.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Atomicidad</w:t>
            </w:r>
          </w:p>
        </w:tc>
        <w:tc>
          <w:tcPr/>
          <w:p>
            <w:pPr>
              <w:pStyle w:val="Compact"/>
            </w:pPr>
            <w:r>
              <w:t xml:space="preserve">XACT_ABORT ON</w:t>
            </w:r>
          </w:p>
        </w:tc>
        <w:tc>
          <w:tcPr/>
          <w:p>
            <w:pPr>
              <w:pStyle w:val="Compact"/>
            </w:pPr>
            <w:r>
              <w:t xml:space="preserve">Error en cualquier parte del MERGE → rollback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streaming</w:t>
            </w:r>
          </w:p>
        </w:tc>
        <w:tc>
          <w:tcPr/>
          <w:p>
            <w:pPr>
              <w:pStyle w:val="Compact"/>
            </w:pPr>
            <w:r>
              <w:t xml:space="preserve">1,000 filas por lote</w:t>
            </w:r>
          </w:p>
        </w:tc>
        <w:tc>
          <w:tcPr/>
          <w:p>
            <w:pPr>
              <w:pStyle w:val="Compact"/>
            </w:pPr>
            <w:r>
              <w:t xml:space="preserve">~10 MB RAM constante. No carga todo en memoria.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Python logging + import_log</w:t>
            </w:r>
          </w:p>
        </w:tc>
        <w:tc>
          <w:tcPr/>
          <w:p>
            <w:pPr>
              <w:pStyle w:val="Compact"/>
            </w:pPr>
            <w:r>
              <w:t xml:space="preserve">Timestamp, batch_id, status, hash audit trail.</w:t>
            </w:r>
          </w:p>
        </w:tc>
      </w:tr>
    </w:tbl>
    <w:bookmarkStart w:id="29" w:name="consultas-de-monitoreo"/>
    <w:p>
      <w:pPr>
        <w:pStyle w:val="Heading2"/>
      </w:pPr>
      <w:r>
        <w:t xml:space="preserve">5.1 Consultas de Monitoreo</w:t>
      </w:r>
    </w:p>
    <w:p>
      <w:pPr>
        <w:pStyle w:val="FirstParagraph"/>
      </w:pPr>
      <w:r>
        <w:rPr>
          <w:b/>
          <w:bCs/>
        </w:rPr>
        <w:t xml:space="preserve">Últimos 10 imports:</w:t>
      </w:r>
    </w:p>
    <w:p>
      <w:pPr>
        <w:pStyle w:val="BodyText"/>
      </w:pPr>
      <w:r>
        <w:t xml:space="preserve">SELECT TOP 10 batch_id, filename, status, total_rows, inserted_rows,</w:t>
      </w:r>
      <w:r>
        <w:t xml:space="preserve"> </w:t>
      </w:r>
      <w:r>
        <w:t xml:space="preserve">error_rows, completed_at FROM dbo.ukg_import_log ORDER BY created_at DESC;</w:t>
      </w:r>
    </w:p>
    <w:p>
      <w:pPr>
        <w:pStyle w:val="BodyText"/>
      </w:pPr>
      <w:r>
        <w:rPr>
          <w:b/>
          <w:bCs/>
        </w:rPr>
        <w:t xml:space="preserve">Errores del último batch:</w:t>
      </w:r>
    </w:p>
    <w:p>
      <w:pPr>
        <w:pStyle w:val="BodyText"/>
      </w:pPr>
      <w:r>
        <w:t xml:space="preserve">SELECT row_number, eeid, error_message FROM dbo.ukg_error_log</w:t>
      </w:r>
      <w:r>
        <w:t xml:space="preserve"> </w:t>
      </w:r>
      <w:r>
        <w:t xml:space="preserve">WHERE batch_id = (SELECT TOP 1 batch_id FROM dbo.ukg_import_log ORDER BY created_at DESC);</w:t>
      </w:r>
    </w:p>
    <w:bookmarkEnd w:id="29"/>
    <w:bookmarkEnd w:id="30"/>
    <w:bookmarkStart w:id="31" w:name="X6ad82ba6958bc2aebbdd1cebc46b4ca4dd955cd"/>
    <w:p>
      <w:pPr>
        <w:pStyle w:val="Heading1"/>
      </w:pPr>
      <w:r>
        <w:t xml:space="preserve">6. Comparativa: Modelo OGP vs Modelo UKG (Per-Tenant)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Modelo OGP (Propuesto)</w:t>
            </w:r>
          </w:p>
        </w:tc>
        <w:tc>
          <w:tcPr/>
          <w:p>
            <w:pPr>
              <w:pStyle w:val="Compact"/>
            </w:pPr>
            <w:r>
              <w:t xml:space="preserve">Modelo UKG (Per-Tenant)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de integración</w:t>
            </w:r>
          </w:p>
        </w:tc>
        <w:tc>
          <w:tcPr/>
          <w:p>
            <w:pPr>
              <w:pStyle w:val="Compact"/>
            </w:pPr>
            <w:r>
              <w:t xml:space="preserve">Incluido en desarrollo interno</w:t>
            </w:r>
          </w:p>
        </w:tc>
        <w:tc>
          <w:tcPr/>
          <w:p>
            <w:pPr>
              <w:pStyle w:val="Compact"/>
            </w:pPr>
            <w:r>
              <w:t xml:space="preserve">Costo por tenant + Boomi licensing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de archivos</w:t>
            </w:r>
          </w:p>
        </w:tc>
        <w:tc>
          <w:tcPr/>
          <w:p>
            <w:pPr>
              <w:pStyle w:val="Compact"/>
            </w:pPr>
            <w:r>
              <w:t xml:space="preserve">1 archivo CSV diario</w:t>
            </w:r>
          </w:p>
        </w:tc>
        <w:tc>
          <w:tcPr/>
          <w:p>
            <w:pPr>
              <w:pStyle w:val="Compact"/>
            </w:pPr>
            <w:r>
              <w:t xml:space="preserve">1 archivo por agencia/tenant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Único (estándar Deloitte)</w:t>
            </w:r>
          </w:p>
        </w:tc>
        <w:tc>
          <w:tcPr/>
          <w:p>
            <w:pPr>
              <w:pStyle w:val="Compact"/>
            </w:pPr>
            <w:r>
              <w:t xml:space="preserve">Reconstrucción por cada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onboarding</w:t>
            </w:r>
          </w:p>
        </w:tc>
        <w:tc>
          <w:tcPr/>
          <w:p>
            <w:pPr>
              <w:pStyle w:val="Compact"/>
            </w:pPr>
            <w:r>
              <w:t xml:space="preserve">Inmediato (un solo pipeline)</w:t>
            </w:r>
          </w:p>
        </w:tc>
        <w:tc>
          <w:tcPr/>
          <w:p>
            <w:pPr>
              <w:pStyle w:val="Compact"/>
            </w:pPr>
            <w:r>
              <w:t xml:space="preserve">Por tenant (semanas/meses)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1 codebase · cambios centralizados</w:t>
            </w:r>
          </w:p>
        </w:tc>
        <w:tc>
          <w:tcPr/>
          <w:p>
            <w:pPr>
              <w:pStyle w:val="Compact"/>
            </w:pPr>
            <w:r>
              <w:t xml:space="preserve">N pipelines · cambios distribuidos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seguridad</w:t>
            </w:r>
          </w:p>
        </w:tc>
        <w:tc>
          <w:tcPr/>
          <w:p>
            <w:pPr>
              <w:pStyle w:val="Compact"/>
            </w:pPr>
            <w:r>
              <w:t xml:space="preserve">Total (encryption in-house)</w:t>
            </w:r>
          </w:p>
        </w:tc>
        <w:tc>
          <w:tcPr/>
          <w:p>
            <w:pPr>
              <w:pStyle w:val="Compact"/>
            </w:pPr>
            <w:r>
              <w:t xml:space="preserve">Depende de configuración UKG/Boomi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(Ley 126)</w:t>
            </w:r>
          </w:p>
        </w:tc>
        <w:tc>
          <w:tcPr/>
          <w:p>
            <w:pPr>
              <w:pStyle w:val="Compact"/>
            </w:pPr>
            <w:r>
              <w:t xml:space="preserve">SHA-256 hash chain nativo</w:t>
            </w:r>
          </w:p>
        </w:tc>
        <w:tc>
          <w:tcPr/>
          <w:p>
            <w:pPr>
              <w:pStyle w:val="Compact"/>
            </w:pPr>
            <w:r>
              <w:t xml:space="preserve">Depende de Boomi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Escalabilidad</w:t>
            </w:r>
          </w:p>
        </w:tc>
        <w:tc>
          <w:tcPr/>
          <w:p>
            <w:pPr>
              <w:pStyle w:val="Compact"/>
            </w:pPr>
            <w:r>
              <w:t xml:space="preserve">Streaming (~15 MB RAM fijo)</w:t>
            </w:r>
          </w:p>
        </w:tc>
        <w:tc>
          <w:tcPr/>
          <w:p>
            <w:pPr>
              <w:pStyle w:val="Compact"/>
            </w:pPr>
            <w:r>
              <w:t xml:space="preserve">Crece lineal con # de tenants</w:t>
            </w:r>
          </w:p>
        </w:tc>
      </w:tr>
    </w:tbl>
    <w:bookmarkEnd w:id="31"/>
    <w:bookmarkStart w:id="39" w:name="modelo-de-acceso-read-only-para-agencias"/>
    <w:p>
      <w:pPr>
        <w:pStyle w:val="Heading1"/>
      </w:pPr>
      <w:r>
        <w:t xml:space="preserve">7. Modelo de Acceso Read-Only para Agencias</w:t>
      </w:r>
    </w:p>
    <w:bookmarkStart w:id="32" w:name="filosofía-las-agencias-leen-no-escriben"/>
    <w:p>
      <w:pPr>
        <w:pStyle w:val="Heading2"/>
      </w:pPr>
      <w:r>
        <w:t xml:space="preserve">7.1 Filosofía: Las agencias leen, no escriben</w:t>
      </w:r>
    </w:p>
    <w:p>
      <w:pPr>
        <w:pStyle w:val="FirstParagraph"/>
      </w:pPr>
      <w:r>
        <w:t xml:space="preserve">A diferencia del modelo tradicional de integración — donde cada agencia recibe una copia</w:t>
      </w:r>
      <w:r>
        <w:t xml:space="preserve"> </w:t>
      </w:r>
      <w:r>
        <w:t xml:space="preserve">de los datos en su propia base de datos local (requiriendo INSERT, UPDATE, DELETE) — nuestro</w:t>
      </w:r>
      <w:r>
        <w:t xml:space="preserve"> </w:t>
      </w:r>
      <w:r>
        <w:t xml:space="preserve">modelo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garantiza que las agencias solo puedan consultar datos,</w:t>
      </w:r>
      <w:r>
        <w:t xml:space="preserve"> </w:t>
      </w:r>
      <w:r>
        <w:t xml:space="preserve">nunca modificarlos.</w:t>
      </w:r>
    </w:p>
    <w:p>
      <w:pPr>
        <w:pStyle w:val="BodyText"/>
      </w:pPr>
      <w:r>
        <w:t xml:space="preserve">Esto simplifica la arquitectura, elimina la necesidad de bases de datos locales en cada</w:t>
      </w:r>
      <w:r>
        <w:t xml:space="preserve"> </w:t>
      </w:r>
      <w:r>
        <w:t xml:space="preserve">agencia, y reduce la superficie de ataque:</w:t>
      </w:r>
    </w:p>
    <w:p>
      <w:pPr>
        <w:pStyle w:val="Compact"/>
        <w:numPr>
          <w:ilvl w:val="0"/>
          <w:numId w:val="1004"/>
        </w:numPr>
      </w:pPr>
      <w:r>
        <w:t xml:space="preserve">La agencia NO necesita SQL Server local.</w:t>
      </w:r>
    </w:p>
    <w:p>
      <w:pPr>
        <w:pStyle w:val="Compact"/>
        <w:numPr>
          <w:ilvl w:val="0"/>
          <w:numId w:val="1004"/>
        </w:numPr>
      </w:pPr>
      <w:r>
        <w:t xml:space="preserve">La agencia NO tiene permisos de escritura (INSERT/UPDATE/DELETE).</w:t>
      </w:r>
    </w:p>
    <w:p>
      <w:pPr>
        <w:pStyle w:val="Compact"/>
        <w:numPr>
          <w:ilvl w:val="0"/>
          <w:numId w:val="1004"/>
        </w:numPr>
      </w:pPr>
      <w:r>
        <w:t xml:space="preserve">La agencia NO instala middleware ni runtimes.</w:t>
      </w:r>
    </w:p>
    <w:p>
      <w:pPr>
        <w:pStyle w:val="Compact"/>
        <w:numPr>
          <w:ilvl w:val="0"/>
          <w:numId w:val="1004"/>
        </w:numPr>
      </w:pPr>
      <w:r>
        <w:t xml:space="preserve">Una sola fuente de verdad: SQL Server central en OGP.</w:t>
      </w:r>
    </w:p>
    <w:bookmarkEnd w:id="32"/>
    <w:bookmarkStart w:id="35" w:name="opciones-de-acceso-read-only"/>
    <w:p>
      <w:pPr>
        <w:pStyle w:val="Heading2"/>
      </w:pPr>
      <w:r>
        <w:t xml:space="preserve">7.2 Opciones de Acceso Read-Only</w:t>
      </w:r>
    </w:p>
    <w:bookmarkStart w:id="33" w:name="X0187e8ec61c7ffa35bb5184f2371a67061d81a0"/>
    <w:p>
      <w:pPr>
        <w:pStyle w:val="Heading3"/>
      </w:pPr>
      <w:r>
        <w:t xml:space="preserve">Opción A — Connection String Read-Only (Directo a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Crear login por agencia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CREATE LOGIN agencia_xxx WITH PASSWORD='***'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Otorgar SELECT únicamente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GRANT SELECT ON empleados, agencias TO agencia_xxx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Entregar connection string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ODBC Driver 18 + TLS; solo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App de la agencia consume</w:t>
            </w:r>
          </w:p>
        </w:tc>
        <w:tc>
          <w:tcPr/>
          <w:p>
            <w:pPr>
              <w:pStyle w:val="Compact"/>
            </w:pPr>
            <w:r>
              <w:t xml:space="preserve">Agencia</w:t>
            </w:r>
          </w:p>
        </w:tc>
        <w:tc>
          <w:tcPr/>
          <w:p>
            <w:pPr>
              <w:pStyle w:val="Compact"/>
            </w:pPr>
            <w:r>
              <w:t xml:space="preserve">SELECT * FROM empleados WHERE agencia='OGP'</w:t>
            </w:r>
          </w:p>
        </w:tc>
      </w:tr>
    </w:tbl>
    <w:bookmarkEnd w:id="33"/>
    <w:bookmarkStart w:id="34" w:name="Xf09d2c5a4595a2e70815452dfb1a34a679a4dfb"/>
    <w:p>
      <w:pPr>
        <w:pStyle w:val="Heading3"/>
      </w:pPr>
      <w:r>
        <w:t xml:space="preserve">Opción B — API REST (Más Seguro, Sin Acceso Directo a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Registrar agencia en el Hub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POST /api/agencies → genera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Entregar API key + endpoint</w:t>
            </w:r>
          </w:p>
        </w:tc>
        <w:tc>
          <w:tcPr/>
          <w:p>
            <w:pPr>
              <w:pStyle w:val="Compact"/>
            </w:pPr>
            <w:r>
              <w:t xml:space="preserve">OGP</w:t>
            </w:r>
          </w:p>
        </w:tc>
        <w:tc>
          <w:tcPr/>
          <w:p>
            <w:pPr>
              <w:pStyle w:val="Compact"/>
            </w:pPr>
            <w:r>
              <w:t xml:space="preserve">GET https://hub.pr.gov/api/data/empleados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App de la agencia consume</w:t>
            </w:r>
          </w:p>
        </w:tc>
        <w:tc>
          <w:tcPr/>
          <w:p>
            <w:pPr>
              <w:pStyle w:val="Compact"/>
            </w:pPr>
            <w:r>
              <w:t xml:space="preserve">Agencia</w:t>
            </w:r>
          </w:p>
        </w:tc>
        <w:tc>
          <w:tcPr/>
          <w:p>
            <w:pPr>
              <w:pStyle w:val="Compact"/>
            </w:pPr>
            <w:r>
              <w:t xml:space="preserve">HTTP GET con Authorization: Bearer &lt;api-key&gt;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Rate limiting por agencia</w:t>
            </w: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100 req/min por API key</w:t>
            </w:r>
          </w:p>
        </w:tc>
      </w:tr>
    </w:tbl>
    <w:p>
      <w:pPr>
        <w:pStyle w:val="BodyText"/>
      </w:pPr>
      <w:r>
        <w:t xml:space="preserve">Opción B es la recomendada: la agencia nunca tiene acceso directo a la base</w:t>
      </w:r>
      <w:r>
        <w:t xml:space="preserve"> </w:t>
      </w:r>
      <w:r>
        <w:t xml:space="preserve">de datos. Solo consume datos vía API REST autenticada con API key. Rate limiting previene abuso.</w:t>
      </w:r>
      <w:r>
        <w:t xml:space="preserve"> </w:t>
      </w:r>
      <w:r>
        <w:t xml:space="preserve">Logs de acceso por agencia habilitan auditoría completa.</w:t>
      </w:r>
    </w:p>
    <w:bookmarkEnd w:id="34"/>
    <w:bookmarkEnd w:id="35"/>
    <w:bookmarkStart w:id="36" w:name="qué-hace-boomi-en-este-escenario"/>
    <w:p>
      <w:pPr>
        <w:pStyle w:val="Heading2"/>
      </w:pPr>
      <w:r>
        <w:t xml:space="preserve">7.3 ¿Qué Hace Boomi en Este Escenario?</w:t>
      </w:r>
    </w:p>
    <w:p>
      <w:pPr>
        <w:pStyle w:val="FirstParagraph"/>
      </w:pPr>
      <w:r>
        <w:t xml:space="preserve">Boomi opera bajo un modelo fundamentalmente distinto. Su modo</w:t>
      </w:r>
      <w:r>
        <w:t xml:space="preserve"> </w:t>
      </w:r>
      <w:r>
        <w:rPr>
          <w:b/>
          <w:bCs/>
        </w:rPr>
        <w:t xml:space="preserve">por defecto</w:t>
      </w:r>
      <w:r>
        <w:t xml:space="preserve"> </w:t>
      </w:r>
      <w:r>
        <w:t xml:space="preserve">requiere</w:t>
      </w:r>
      <w:r>
        <w:t xml:space="preserve"> </w:t>
      </w:r>
      <w:r>
        <w:t xml:space="preserve">INSERT, UPDATE, DELETE en las bases de datos destino: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 Boomi</w:t>
            </w:r>
          </w:p>
        </w:tc>
        <w:tc>
          <w:tcPr/>
          <w:p>
            <w:pPr>
              <w:pStyle w:val="Compact"/>
            </w:pPr>
            <w:r>
              <w:t xml:space="preserve">Permiso Requerido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Connector — 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Escritura no autorizada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Connector — 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Modificación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Connector — 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Eliminación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Connector — Upsert</w:t>
            </w:r>
          </w:p>
        </w:tc>
        <w:tc>
          <w:tcPr/>
          <w:p>
            <w:pPr>
              <w:pStyle w:val="Compact"/>
            </w:pPr>
            <w:r>
              <w:t xml:space="preserve">INSERT + UPDATE</w:t>
            </w:r>
          </w:p>
        </w:tc>
        <w:tc>
          <w:tcPr/>
          <w:p>
            <w:pPr>
              <w:pStyle w:val="Compact"/>
            </w:pPr>
            <w:r>
              <w:t xml:space="preserve">Inserción/modificación silenciosa</w:t>
            </w:r>
          </w:p>
        </w:tc>
      </w:tr>
    </w:tbl>
    <w:p>
      <w:pPr>
        <w:pStyle w:val="BodyText"/>
      </w:pPr>
      <w:r>
        <w:rPr>
          <w:i/>
          <w:iCs/>
        </w:rPr>
        <w:t xml:space="preserve">Fuente: Boomi Documentation — "Database connector: Use to select, insert, update, and delete records in a database."</w:t>
      </w:r>
    </w:p>
    <w:p>
      <w:pPr>
        <w:pStyle w:val="BodyText"/>
      </w:pPr>
      <w:r>
        <w:t xml:space="preserve">Para lograr un modelo read-only, Boomi requeriría su producto adicional</w:t>
      </w:r>
      <w:r>
        <w:t xml:space="preserve"> </w:t>
      </w:r>
      <w:r>
        <w:rPr>
          <w:b/>
          <w:bCs/>
        </w:rPr>
        <w:t xml:space="preserve">Boomi Data Hub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Boomi Data Hub es un producto APARTE del Boomi Integration básico.</w:t>
      </w:r>
    </w:p>
    <w:p>
      <w:pPr>
        <w:pStyle w:val="Compact"/>
        <w:numPr>
          <w:ilvl w:val="0"/>
          <w:numId w:val="1005"/>
        </w:numPr>
      </w:pPr>
      <w:r>
        <w:t xml:space="preserve">Expone datos vía APIs REST para consumo externo.</w:t>
      </w:r>
    </w:p>
    <w:p>
      <w:pPr>
        <w:pStyle w:val="Compact"/>
        <w:numPr>
          <w:ilvl w:val="0"/>
          <w:numId w:val="1005"/>
        </w:numPr>
      </w:pPr>
      <w:r>
        <w:t xml:space="preserve">Requiere licencia adicional y configuración de modelos de datos maestros.</w:t>
      </w:r>
    </w:p>
    <w:bookmarkEnd w:id="36"/>
    <w:bookmarkStart w:id="37" w:name="comparativa-de-costos-acceso-read-only"/>
    <w:p>
      <w:pPr>
        <w:pStyle w:val="Heading2"/>
      </w:pPr>
      <w:r>
        <w:t xml:space="preserve">7.4 Comparativa de Costos — Acceso Read-Only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Boomi Data Hub</w:t>
            </w:r>
          </w:p>
        </w:tc>
        <w:tc>
          <w:tcPr/>
          <w:p>
            <w:pPr>
              <w:pStyle w:val="Compact"/>
            </w:pPr>
            <w:r>
              <w:t xml:space="preserve">Nuestra 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 base</w:t>
            </w:r>
          </w:p>
        </w:tc>
        <w:tc>
          <w:tcPr/>
          <w:p>
            <w:pPr>
              <w:pStyle w:val="Compact"/>
            </w:pPr>
            <w:r>
              <w:t xml:space="preserve">$20K–$40K/año (Data Hub)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UKG Pro Connector</w:t>
            </w:r>
          </w:p>
        </w:tc>
        <w:tc>
          <w:tcPr/>
          <w:p>
            <w:pPr>
              <w:pStyle w:val="Compact"/>
            </w:pPr>
            <w:r>
              <w:t xml:space="preserve">$17K/año</w:t>
            </w:r>
          </w:p>
        </w:tc>
        <w:tc>
          <w:tcPr/>
          <w:p>
            <w:pPr>
              <w:pStyle w:val="Compact"/>
            </w:pPr>
            <w:r>
              <w:t xml:space="preserve">$0 (SFTP estándar)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Atoms (mínimo 3 ambientes)</w:t>
            </w:r>
          </w:p>
        </w:tc>
        <w:tc>
          <w:tcPr/>
          <w:p>
            <w:pPr>
              <w:pStyle w:val="Compact"/>
            </w:pPr>
            <w:r>
              <w:t xml:space="preserve">~$20K/año ($550/mes c/u)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Licencia SQL Server</w:t>
            </w:r>
          </w:p>
        </w:tc>
        <w:tc>
          <w:tcPr/>
          <w:p>
            <w:pPr>
              <w:pStyle w:val="Compact"/>
            </w:pPr>
            <w:r>
              <w:t xml:space="preserve">SQL Server Express (gratis)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Servidores para Atoms</w:t>
            </w:r>
          </w:p>
        </w:tc>
        <w:tc>
          <w:tcPr/>
          <w:p>
            <w:pPr>
              <w:pStyle w:val="Compact"/>
            </w:pPr>
            <w:r>
              <w:t xml:space="preserve">1 VPS (~$240/año)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anual estimado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~$57K–$77K/año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~$240/año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Ahorro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~99.7%</w:t>
            </w:r>
          </w:p>
        </w:tc>
      </w:tr>
    </w:tbl>
    <w:p>
      <w:pPr>
        <w:pStyle w:val="BodyText"/>
      </w:pPr>
      <w:r>
        <w:t xml:space="preserve">Con 150 agencias, el costo de Boomi escalaría a $200K+/año en conectores y Atoms</w:t>
      </w:r>
      <w:r>
        <w:t xml:space="preserve"> </w:t>
      </w:r>
      <w:r>
        <w:t xml:space="preserve">por tenant. Nuestra solución mantiene el costo fijo independientemente del número de agencias.</w:t>
      </w:r>
    </w:p>
    <w:bookmarkEnd w:id="37"/>
    <w:bookmarkStart w:id="38" w:name="la-agencia-necesita-instalar-algo"/>
    <w:p>
      <w:pPr>
        <w:pStyle w:val="Heading2"/>
      </w:pPr>
      <w:r>
        <w:t xml:space="preserve">7.5 ¿La Agencia Necesita Instalar Algo?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Boomi</w:t>
            </w:r>
          </w:p>
        </w:tc>
        <w:tc>
          <w:tcPr/>
          <w:p>
            <w:pPr>
              <w:pStyle w:val="Compact"/>
            </w:pPr>
            <w:r>
              <w:t xml:space="preserve">Nosotros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Runtime/Middleware</w:t>
            </w:r>
          </w:p>
        </w:tc>
        <w:tc>
          <w:tcPr/>
          <w:p>
            <w:pPr>
              <w:pStyle w:val="Compact"/>
            </w:pPr>
            <w:r>
              <w:t xml:space="preserve">Atom (~512 MB Java)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local</w:t>
            </w:r>
          </w:p>
        </w:tc>
        <w:tc>
          <w:tcPr/>
          <w:p>
            <w:pPr>
              <w:pStyle w:val="Compact"/>
            </w:pPr>
            <w:r>
              <w:t xml:space="preserve">Sí (Atom escribe en ella)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JDBC + credenciales de escritura</w:t>
            </w:r>
          </w:p>
        </w:tc>
        <w:tc>
          <w:tcPr/>
          <w:p>
            <w:pPr>
              <w:pStyle w:val="Compact"/>
            </w:pPr>
            <w:r>
              <w:t xml:space="preserve">API key o connection string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Mantenimiento</w:t>
            </w:r>
          </w:p>
        </w:tc>
        <w:tc>
          <w:tcPr/>
          <w:p>
            <w:pPr>
              <w:pStyle w:val="Compact"/>
            </w:pPr>
            <w:r>
              <w:t xml:space="preserve">Actualizar Atom + Java + DB</w:t>
            </w:r>
          </w:p>
        </w:tc>
        <w:tc>
          <w:tcPr/>
          <w:p>
            <w:pPr>
              <w:pStyle w:val="Compact"/>
            </w:pPr>
            <w:r>
              <w:t xml:space="preserve">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$550+/mes por Atom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</w:tbl>
    <w:bookmarkEnd w:id="38"/>
    <w:bookmarkEnd w:id="39"/>
    <w:bookmarkStart w:id="40" w:name="próximos-pasos"/>
    <w:p>
      <w:pPr>
        <w:pStyle w:val="Heading1"/>
      </w:pPr>
      <w:r>
        <w:t xml:space="preserve">8. Próximos Pasos</w:t>
      </w:r>
    </w:p>
    <w:p>
      <w:pPr>
        <w:pStyle w:val="FirstParagraph"/>
      </w:pPr>
      <w:r>
        <w:rPr>
          <w:b/>
          <w:bCs/>
        </w:rPr>
        <w:t xml:space="preserve">Se solicita una reunión técnica a la brevedad con los siguientes objetivos:</w:t>
      </w:r>
    </w:p>
    <w:p>
      <w:pPr>
        <w:pStyle w:val="Compact"/>
        <w:numPr>
          <w:ilvl w:val="0"/>
          <w:numId w:val="1006"/>
        </w:numPr>
      </w:pPr>
      <w:r>
        <w:t xml:space="preserve">Revisar y validar los requisitos técnicos aquí expuestos.</w:t>
      </w:r>
    </w:p>
    <w:p>
      <w:pPr>
        <w:pStyle w:val="Compact"/>
        <w:numPr>
          <w:ilvl w:val="0"/>
          <w:numId w:val="1006"/>
        </w:numPr>
      </w:pPr>
      <w:r>
        <w:t xml:space="preserve">Confirmar que UKG puede entregar el CSV diario único con layout estándar Deloitte.</w:t>
      </w:r>
    </w:p>
    <w:p>
      <w:pPr>
        <w:pStyle w:val="Compact"/>
        <w:numPr>
          <w:ilvl w:val="0"/>
          <w:numId w:val="1006"/>
        </w:numPr>
      </w:pPr>
      <w:r>
        <w:t xml:space="preserve">Definir credenciales SFTP y mapeo de status codes.</w:t>
      </w:r>
    </w:p>
    <w:p>
      <w:pPr>
        <w:pStyle w:val="Compact"/>
        <w:numPr>
          <w:ilvl w:val="0"/>
          <w:numId w:val="1006"/>
        </w:numPr>
      </w:pPr>
      <w:r>
        <w:t xml:space="preserve">Establecer cronograma: fecha de primer CSV de prueba → validación → producción.</w:t>
      </w:r>
    </w:p>
    <w:p>
      <w:pPr>
        <w:pStyle w:val="Compact"/>
        <w:numPr>
          <w:ilvl w:val="0"/>
          <w:numId w:val="1006"/>
        </w:numPr>
      </w:pPr>
      <w:r>
        <w:t xml:space="preserve">Identificar entorno de staging/QA para pruebas de integración.</w:t>
      </w:r>
    </w:p>
    <w:p>
      <w:pPr>
        <w:pStyle w:val="FirstParagraph"/>
      </w:pPr>
      <w:r>
        <w:rPr>
          <w:b/>
          <w:bCs/>
        </w:rPr>
        <w:t xml:space="preserve">Documento preparado por:</w:t>
      </w:r>
    </w:p>
    <w:p>
      <w:pPr>
        <w:pStyle w:val="BodyText"/>
      </w:pPr>
      <w:r>
        <w:t xml:space="preserve">Equipo de Desarrollo</w:t>
      </w:r>
    </w:p>
    <w:p>
      <w:pPr>
        <w:pStyle w:val="BodyText"/>
      </w:pPr>
      <w:r>
        <w:t xml:space="preserve">Gobierno de Puerto Rico</w:t>
      </w:r>
    </w:p>
    <w:p>
      <w:pPr>
        <w:pStyle w:val="BodyText"/>
      </w:pPr>
      <w:r>
        <w:t xml:space="preserve">Fecha: 22 de June de 2026</w:t>
      </w:r>
    </w:p>
    <w:p>
      <w:pPr>
        <w:pStyle w:val="BodyText"/>
      </w:pPr>
      <w:r>
        <w:t xml:space="preserve">Repositorio: github.com/jcollazo/ukg-oracle-etl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UKG Pro → SQL Server — Propuesta Técnica</dc:title>
  <dc:creator/>
  <dc:language>es</dc:language>
  <cp:keywords/>
  <dcterms:created xsi:type="dcterms:W3CDTF">2026-06-22T21:16:59Z</dcterms:created>
  <dcterms:modified xsi:type="dcterms:W3CDTF">2026-06-22T21:16:59Z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