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20"/>
      </w:pPr>
      <w:r>
        <w:rPr>
          <w:rFonts w:ascii="Arial" w:cs="Arial" w:eastAsia="Arial" w:hAnsi="Arial"/>
          <w:b/>
          <w:bCs/>
          <w:color w:val="1a3c5e"/>
          <w:sz w:val="36"/>
          <w:szCs w:val="36"/>
        </w:rPr>
        <w:t xml:space="preserve">How Does Child Custody Affect Financial Settlement UK? What Every Parent Needs to Know</w:t>
      </w:r>
    </w:p>
    <w:p>
      <w:pPr>
        <w:spacing w:before="80" w:after="80"/>
      </w:pPr>
      <w:r>
        <w:rPr>
          <w:rFonts w:ascii="Arial" w:cs="Arial" w:eastAsia="Arial" w:hAnsi="Arial"/>
          <w:sz w:val="22"/>
          <w:szCs w:val="22"/>
        </w:rPr>
        <w:t xml:space="preserve">How does child custody affect financial settlement UK? In England and Wales, where children live and who has day-to-day care of them is one of the most significant factors shaping the financial outcome of a divorce. The courts' paramount concern in any financial settlement is the welfare of children under 18. This means child arrangements — informally called custody — directly influence decisions about the family home, income distribution, and the overall division of assets.</w:t>
      </w:r>
    </w:p>
    <w:p>
      <w:pPr>
        <w:pStyle w:val="Heading2"/>
        <w:spacing w:before="300" w:after="140"/>
      </w:pPr>
      <w:r>
        <w:rPr>
          <w:rFonts w:ascii="Arial" w:cs="Arial" w:eastAsia="Arial" w:hAnsi="Arial"/>
          <w:b/>
          <w:bCs/>
          <w:color w:val="2563a8"/>
          <w:sz w:val="28"/>
          <w:szCs w:val="28"/>
        </w:rPr>
        <w:t xml:space="preserve">Children's Welfare: The Court's First Consideration</w:t>
      </w:r>
    </w:p>
    <w:p>
      <w:pPr>
        <w:spacing w:before="80" w:after="80"/>
      </w:pPr>
      <w:r>
        <w:rPr>
          <w:rFonts w:ascii="Arial" w:cs="Arial" w:eastAsia="Arial" w:hAnsi="Arial"/>
          <w:sz w:val="22"/>
          <w:szCs w:val="22"/>
        </w:rPr>
        <w:t xml:space="preserve">Section 25 of the Matrimonial Causes Act 1973 sets out the factors courts must consider in financial proceedings. The welfare of minor children is listed first — and it is not simply one factor among many. It is the paramount consideration to which all other factors must be considered in context.</w:t>
      </w:r>
    </w:p>
    <w:p>
      <w:pPr>
        <w:spacing w:before="80" w:after="80"/>
      </w:pPr>
      <w:r>
        <w:rPr>
          <w:rFonts w:ascii="Arial" w:cs="Arial" w:eastAsia="Arial" w:hAnsi="Arial"/>
          <w:sz w:val="22"/>
          <w:szCs w:val="22"/>
        </w:rPr>
        <w:t xml:space="preserve">This means that before a court considers income, assets, or contributions, it asks: what outcome best serves the interests of the children?</w:t>
      </w:r>
    </w:p>
    <w:p>
      <w:pPr>
        <w:pStyle w:val="Heading2"/>
        <w:spacing w:before="300" w:after="140"/>
      </w:pPr>
      <w:r>
        <w:rPr>
          <w:rFonts w:ascii="Arial" w:cs="Arial" w:eastAsia="Arial" w:hAnsi="Arial"/>
          <w:b/>
          <w:bCs/>
          <w:color w:val="2563a8"/>
          <w:sz w:val="28"/>
          <w:szCs w:val="28"/>
        </w:rPr>
        <w:t xml:space="preserve">How the Primary Carer's Position Is Affected</w:t>
      </w:r>
    </w:p>
    <w:p>
      <w:pPr>
        <w:spacing w:before="220" w:after="100"/>
      </w:pPr>
      <w:r>
        <w:rPr>
          <w:rFonts w:ascii="Arial" w:cs="Arial" w:eastAsia="Arial" w:hAnsi="Arial"/>
          <w:b/>
          <w:bCs/>
          <w:color w:val="1a3c5e"/>
          <w:sz w:val="24"/>
          <w:szCs w:val="24"/>
        </w:rPr>
        <w:t xml:space="preserve">Housing priority</w:t>
      </w:r>
    </w:p>
    <w:p>
      <w:pPr>
        <w:spacing w:before="80" w:after="80"/>
      </w:pPr>
      <w:r>
        <w:rPr>
          <w:rFonts w:ascii="Arial" w:cs="Arial" w:eastAsia="Arial" w:hAnsi="Arial"/>
          <w:sz w:val="22"/>
          <w:szCs w:val="22"/>
        </w:rPr>
        <w:t xml:space="preserve">The parent with whom children live most of the time — the primary carer — typically has priority in relation to housing. Courts want to minimise disruption to children's schooling, friendships, and stability. This often means:</w:t>
      </w:r>
    </w:p>
    <w:p>
      <w:pPr>
        <w:pStyle w:val="ListParagraph"/>
        <w:numPr>
          <w:ilvl w:val="0"/>
          <w:numId w:val="2"/>
        </w:numPr>
        <w:spacing w:before="60" w:after="60"/>
      </w:pPr>
      <w:r>
        <w:rPr>
          <w:rFonts w:ascii="Arial" w:cs="Arial" w:eastAsia="Arial" w:hAnsi="Arial"/>
          <w:sz w:val="22"/>
          <w:szCs w:val="22"/>
        </w:rPr>
        <w:t xml:space="preserve">The primary carer retains the family home, at least until the children are older</w:t>
      </w:r>
    </w:p>
    <w:p>
      <w:pPr>
        <w:pStyle w:val="ListParagraph"/>
        <w:numPr>
          <w:ilvl w:val="0"/>
          <w:numId w:val="2"/>
        </w:numPr>
        <w:spacing w:before="60" w:after="60"/>
      </w:pPr>
      <w:r>
        <w:rPr>
          <w:rFonts w:ascii="Arial" w:cs="Arial" w:eastAsia="Arial" w:hAnsi="Arial"/>
          <w:sz w:val="22"/>
          <w:szCs w:val="22"/>
        </w:rPr>
        <w:t xml:space="preserve">A Mesher Order defers sale until the youngest child turns 18 or finishes education</w:t>
      </w:r>
    </w:p>
    <w:p>
      <w:pPr>
        <w:pStyle w:val="ListParagraph"/>
        <w:numPr>
          <w:ilvl w:val="0"/>
          <w:numId w:val="2"/>
        </w:numPr>
        <w:spacing w:before="60" w:after="60"/>
      </w:pPr>
      <w:r>
        <w:rPr>
          <w:rFonts w:ascii="Arial" w:cs="Arial" w:eastAsia="Arial" w:hAnsi="Arial"/>
          <w:sz w:val="22"/>
          <w:szCs w:val="22"/>
        </w:rPr>
        <w:t xml:space="preserve">The primary carer receives a greater share of equity to enable independent rehousing</w:t>
      </w:r>
    </w:p>
    <w:p>
      <w:pPr>
        <w:spacing w:before="220" w:after="100"/>
      </w:pPr>
      <w:r>
        <w:rPr>
          <w:rFonts w:ascii="Arial" w:cs="Arial" w:eastAsia="Arial" w:hAnsi="Arial"/>
          <w:b/>
          <w:bCs/>
          <w:color w:val="1a3c5e"/>
          <w:sz w:val="24"/>
          <w:szCs w:val="24"/>
        </w:rPr>
        <w:t xml:space="preserve">Income and earning capacity</w:t>
      </w:r>
    </w:p>
    <w:p>
      <w:pPr>
        <w:spacing w:before="80" w:after="80"/>
      </w:pPr>
      <w:r>
        <w:rPr>
          <w:rFonts w:ascii="Arial" w:cs="Arial" w:eastAsia="Arial" w:hAnsi="Arial"/>
          <w:sz w:val="22"/>
          <w:szCs w:val="22"/>
        </w:rPr>
        <w:t xml:space="preserve">Where one parent has reduced their working hours or career progression to care for children, courts take this into account. The primary carer's lower earning capacity — directly caused by the marriage — is a significant factor supporting both a larger share of assets and spousal maintenance.</w:t>
      </w:r>
    </w:p>
    <w:p>
      <w:pPr>
        <w:pStyle w:val="Heading2"/>
        <w:spacing w:before="300" w:after="140"/>
      </w:pPr>
      <w:r>
        <w:rPr>
          <w:rFonts w:ascii="Arial" w:cs="Arial" w:eastAsia="Arial" w:hAnsi="Arial"/>
          <w:b/>
          <w:bCs/>
          <w:color w:val="2563a8"/>
          <w:sz w:val="28"/>
          <w:szCs w:val="28"/>
        </w:rPr>
        <w:t xml:space="preserve">Child Arrangements Orders vs Financial Orders: Two Separate Processes</w:t>
      </w:r>
    </w:p>
    <w:p>
      <w:pPr>
        <w:spacing w:before="80" w:after="80"/>
      </w:pPr>
      <w:r>
        <w:rPr>
          <w:rFonts w:ascii="Arial" w:cs="Arial" w:eastAsia="Arial" w:hAnsi="Arial"/>
          <w:sz w:val="22"/>
          <w:szCs w:val="22"/>
        </w:rPr>
        <w:t xml:space="preserve">In England and Wales, arrangements for where children live and how much time they spend with each parent are dealt with in separate proceedings from the financial settlement. A Child Arrangements Order (or an informal agreement) about where children live does not automatically determine the financial outcome — but it heavily influences it.</w:t>
      </w:r>
    </w:p>
    <w:p>
      <w:pPr>
        <w:spacing w:before="80" w:after="80"/>
      </w:pPr>
      <w:r>
        <w:rPr>
          <w:rFonts w:ascii="Arial" w:cs="Arial" w:eastAsia="Arial" w:hAnsi="Arial"/>
          <w:sz w:val="22"/>
          <w:szCs w:val="22"/>
        </w:rPr>
        <w:t xml:space="preserve">Resolving child arrangements before or alongside financial negotiations is strongly advisable. Uncertainty about where children will live creates uncertainty about what housing each parent needs, which stalls financial negotiations.</w:t>
      </w:r>
    </w:p>
    <w:p>
      <w:pPr>
        <w:pStyle w:val="Heading2"/>
        <w:spacing w:before="300" w:after="140"/>
      </w:pPr>
      <w:r>
        <w:rPr>
          <w:rFonts w:ascii="Arial" w:cs="Arial" w:eastAsia="Arial" w:hAnsi="Arial"/>
          <w:b/>
          <w:bCs/>
          <w:color w:val="2563a8"/>
          <w:sz w:val="28"/>
          <w:szCs w:val="28"/>
        </w:rPr>
        <w:t xml:space="preserve">Shared Care Arrangements and Financial Settlement</w:t>
      </w:r>
    </w:p>
    <w:p>
      <w:pPr>
        <w:spacing w:before="80" w:after="80"/>
      </w:pPr>
      <w:r>
        <w:rPr>
          <w:rFonts w:ascii="Arial" w:cs="Arial" w:eastAsia="Arial" w:hAnsi="Arial"/>
          <w:sz w:val="22"/>
          <w:szCs w:val="22"/>
        </w:rPr>
        <w:t xml:space="preserve">Shared care — where children spend roughly equal time with both parents — affects the financial settlement in more nuanced ways:</w:t>
      </w:r>
    </w:p>
    <w:p>
      <w:pPr>
        <w:pStyle w:val="ListParagraph"/>
        <w:numPr>
          <w:ilvl w:val="0"/>
          <w:numId w:val="2"/>
        </w:numPr>
        <w:spacing w:before="60" w:after="60"/>
      </w:pPr>
      <w:r>
        <w:rPr>
          <w:rFonts w:ascii="Arial" w:cs="Arial" w:eastAsia="Arial" w:hAnsi="Arial"/>
          <w:sz w:val="22"/>
          <w:szCs w:val="22"/>
        </w:rPr>
        <w:t xml:space="preserve">Both parents need suitable housing for the children, which may increase overall housing needs</w:t>
      </w:r>
    </w:p>
    <w:p>
      <w:pPr>
        <w:pStyle w:val="ListParagraph"/>
        <w:numPr>
          <w:ilvl w:val="0"/>
          <w:numId w:val="2"/>
        </w:numPr>
        <w:spacing w:before="60" w:after="60"/>
      </w:pPr>
      <w:r>
        <w:rPr>
          <w:rFonts w:ascii="Arial" w:cs="Arial" w:eastAsia="Arial" w:hAnsi="Arial"/>
          <w:sz w:val="22"/>
          <w:szCs w:val="22"/>
        </w:rPr>
        <w:t xml:space="preserve">Child maintenance is reduced on CMS calculations where overnight stays are significant</w:t>
      </w:r>
    </w:p>
    <w:p>
      <w:pPr>
        <w:pStyle w:val="ListParagraph"/>
        <w:numPr>
          <w:ilvl w:val="0"/>
          <w:numId w:val="2"/>
        </w:numPr>
        <w:spacing w:before="60" w:after="60"/>
      </w:pPr>
      <w:r>
        <w:rPr>
          <w:rFonts w:ascii="Arial" w:cs="Arial" w:eastAsia="Arial" w:hAnsi="Arial"/>
          <w:sz w:val="22"/>
          <w:szCs w:val="22"/>
        </w:rPr>
        <w:t xml:space="preserve">Courts are less likely to defer sale of the family home where children have established homes with both parents</w:t>
      </w:r>
    </w:p>
    <w:p>
      <w:pPr>
        <w:pStyle w:val="ListParagraph"/>
        <w:numPr>
          <w:ilvl w:val="0"/>
          <w:numId w:val="2"/>
        </w:numPr>
        <w:spacing w:before="60" w:after="60"/>
      </w:pPr>
      <w:r>
        <w:rPr>
          <w:rFonts w:ascii="Arial" w:cs="Arial" w:eastAsia="Arial" w:hAnsi="Arial"/>
          <w:sz w:val="22"/>
          <w:szCs w:val="22"/>
        </w:rPr>
        <w:t xml:space="preserve">Spousal maintenance arguments are weaker where both parents share care roughly equally</w:t>
      </w:r>
    </w:p>
    <w:p>
      <w:pPr>
        <w:pStyle w:val="Heading2"/>
        <w:spacing w:before="300" w:after="140"/>
      </w:pPr>
      <w:r>
        <w:rPr>
          <w:rFonts w:ascii="Arial" w:cs="Arial" w:eastAsia="Arial" w:hAnsi="Arial"/>
          <w:b/>
          <w:bCs/>
          <w:color w:val="2563a8"/>
          <w:sz w:val="28"/>
          <w:szCs w:val="28"/>
        </w:rPr>
        <w:t xml:space="preserve">Real-World Example: How Custody Shapes the Settlement</w:t>
      </w:r>
    </w:p>
    <w:p>
      <w:pPr>
        <w:spacing w:before="80" w:after="80"/>
      </w:pPr>
      <w:r>
        <w:rPr>
          <w:rFonts w:ascii="Arial" w:cs="Arial" w:eastAsia="Arial" w:hAnsi="Arial"/>
          <w:sz w:val="22"/>
          <w:szCs w:val="22"/>
        </w:rPr>
        <w:t xml:space="preserve">Louise and David have two children (aged 6 and 9). The children live primarily with Louise. David has the children every other weekend and one weekday evening. The family home has £160,000 equity. David has a pension worth £85,000; Louise has £20,000.</w:t>
      </w:r>
    </w:p>
    <w:p>
      <w:pPr>
        <w:spacing w:before="80" w:after="80"/>
      </w:pPr>
      <w:r>
        <w:rPr>
          <w:rFonts w:ascii="Arial" w:cs="Arial" w:eastAsia="Arial" w:hAnsi="Arial"/>
          <w:sz w:val="22"/>
          <w:szCs w:val="22"/>
        </w:rPr>
        <w:t xml:space="preserve">The court prioritises the children's housing needs. Louise stays in the family home under a Mesher Order until the youngest turns 18. David receives no equity now but retains his pension. David pays child maintenance (CMS-calculated) plus spousal maintenance for 3 years to support Louise's return to full-time work. Using a divorce financial settlement calculator confirmed the overall values were broadly equivalent.</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Children's welfare is the court's first and paramount consideration in financial proceedings</w:t>
      </w:r>
    </w:p>
    <w:p>
      <w:pPr>
        <w:pStyle w:val="ListParagraph"/>
        <w:numPr>
          <w:ilvl w:val="0"/>
          <w:numId w:val="2"/>
        </w:numPr>
        <w:spacing w:before="60" w:after="60"/>
      </w:pPr>
      <w:r>
        <w:rPr>
          <w:rFonts w:ascii="Arial" w:cs="Arial" w:eastAsia="Arial" w:hAnsi="Arial"/>
          <w:sz w:val="22"/>
          <w:szCs w:val="22"/>
        </w:rPr>
        <w:t xml:space="preserve">The primary carer typically has priority in relation to housing</w:t>
      </w:r>
    </w:p>
    <w:p>
      <w:pPr>
        <w:pStyle w:val="ListParagraph"/>
        <w:numPr>
          <w:ilvl w:val="0"/>
          <w:numId w:val="2"/>
        </w:numPr>
        <w:spacing w:before="60" w:after="60"/>
      </w:pPr>
      <w:r>
        <w:rPr>
          <w:rFonts w:ascii="Arial" w:cs="Arial" w:eastAsia="Arial" w:hAnsi="Arial"/>
          <w:sz w:val="22"/>
          <w:szCs w:val="22"/>
        </w:rPr>
        <w:t xml:space="preserve">The primary carer's reduced earning capacity is a significant factor in both asset division and maintenance</w:t>
      </w:r>
    </w:p>
    <w:p>
      <w:pPr>
        <w:pStyle w:val="ListParagraph"/>
        <w:numPr>
          <w:ilvl w:val="0"/>
          <w:numId w:val="2"/>
        </w:numPr>
        <w:spacing w:before="60" w:after="60"/>
      </w:pPr>
      <w:r>
        <w:rPr>
          <w:rFonts w:ascii="Arial" w:cs="Arial" w:eastAsia="Arial" w:hAnsi="Arial"/>
          <w:sz w:val="22"/>
          <w:szCs w:val="22"/>
        </w:rPr>
        <w:t xml:space="preserve">Shared care affects both maintenance calculations and housing needs</w:t>
      </w:r>
    </w:p>
    <w:p>
      <w:pPr>
        <w:pStyle w:val="ListParagraph"/>
        <w:numPr>
          <w:ilvl w:val="0"/>
          <w:numId w:val="2"/>
        </w:numPr>
        <w:spacing w:before="60" w:after="60"/>
      </w:pPr>
      <w:r>
        <w:rPr>
          <w:rFonts w:ascii="Arial" w:cs="Arial" w:eastAsia="Arial" w:hAnsi="Arial"/>
          <w:sz w:val="22"/>
          <w:szCs w:val="22"/>
        </w:rPr>
        <w:t xml:space="preserve">Resolving child arrangements early helps financial negotiations proceed more smoothly</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Does the parent with more custody always get more assets?</w:t>
      </w:r>
    </w:p>
    <w:p>
      <w:pPr>
        <w:spacing w:before="80" w:after="80"/>
      </w:pPr>
      <w:r>
        <w:rPr>
          <w:rFonts w:ascii="Arial" w:cs="Arial" w:eastAsia="Arial" w:hAnsi="Arial"/>
          <w:sz w:val="22"/>
          <w:szCs w:val="22"/>
        </w:rPr>
        <w:t xml:space="preserve">Not automatically — but housing needs for children create a strong practical argument. Courts prioritise meeting children's housing needs, which often benefits the primary carer financially.</w:t>
      </w:r>
    </w:p>
    <w:p>
      <w:pPr>
        <w:spacing w:before="220" w:after="100"/>
      </w:pPr>
      <w:r>
        <w:rPr>
          <w:rFonts w:ascii="Arial" w:cs="Arial" w:eastAsia="Arial" w:hAnsi="Arial"/>
          <w:b/>
          <w:bCs/>
          <w:color w:val="1a3c5e"/>
          <w:sz w:val="24"/>
          <w:szCs w:val="24"/>
        </w:rPr>
        <w:t xml:space="preserve">What if we share custody 50/50?</w:t>
      </w:r>
    </w:p>
    <w:p>
      <w:pPr>
        <w:spacing w:before="80" w:after="80"/>
      </w:pPr>
      <w:r>
        <w:rPr>
          <w:rFonts w:ascii="Arial" w:cs="Arial" w:eastAsia="Arial" w:hAnsi="Arial"/>
          <w:sz w:val="22"/>
          <w:szCs w:val="22"/>
        </w:rPr>
        <w:t xml:space="preserve">Shared care reduces child maintenance obligations and weakens some housing arguments. However, both parents still need accommodation suitable for the children, and the overall settlement must still meet both parties' needs.</w:t>
      </w:r>
    </w:p>
    <w:p>
      <w:pPr>
        <w:spacing w:before="220" w:after="100"/>
      </w:pPr>
      <w:r>
        <w:rPr>
          <w:rFonts w:ascii="Arial" w:cs="Arial" w:eastAsia="Arial" w:hAnsi="Arial"/>
          <w:b/>
          <w:bCs/>
          <w:color w:val="1a3c5e"/>
          <w:sz w:val="24"/>
          <w:szCs w:val="24"/>
        </w:rPr>
        <w:t xml:space="preserve">Can my ex use children as leverage in financial negotiations?</w:t>
      </w:r>
    </w:p>
    <w:p>
      <w:pPr>
        <w:spacing w:before="80" w:after="80"/>
      </w:pPr>
      <w:r>
        <w:rPr>
          <w:rFonts w:ascii="Arial" w:cs="Arial" w:eastAsia="Arial" w:hAnsi="Arial"/>
          <w:sz w:val="22"/>
          <w:szCs w:val="22"/>
        </w:rPr>
        <w:t xml:space="preserve">Linking child arrangements to financial outcomes is strongly discouraged by courts and family professionals. Child arrangement disputes and financial disputes should be resolved on their own merits through appropriate processes.</w:t>
      </w:r>
    </w:p>
    <w:p>
      <w:pPr>
        <w:spacing w:before="220" w:after="100"/>
      </w:pPr>
      <w:r>
        <w:rPr>
          <w:rFonts w:ascii="Arial" w:cs="Arial" w:eastAsia="Arial" w:hAnsi="Arial"/>
          <w:b/>
          <w:bCs/>
          <w:color w:val="1a3c5e"/>
          <w:sz w:val="24"/>
          <w:szCs w:val="24"/>
        </w:rPr>
        <w:t xml:space="preserve">What happens to the financial settlement when children grow up?</w:t>
      </w:r>
    </w:p>
    <w:p>
      <w:pPr>
        <w:spacing w:before="80" w:after="80"/>
      </w:pPr>
      <w:r>
        <w:rPr>
          <w:rFonts w:ascii="Arial" w:cs="Arial" w:eastAsia="Arial" w:hAnsi="Arial"/>
          <w:sz w:val="22"/>
          <w:szCs w:val="22"/>
        </w:rPr>
        <w:t xml:space="preserve">If a Mesher Order is in place, it triggers at the specified event (usually youngest child reaching 18). At that point, the property is sold or transferred in accordance with the order. Spousal maintenance orders for a fixed term also end at the agreed date.</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Child Maintenance vs Spousal Maintenance UK: Key Differences Explained</w:t>
      </w:r>
    </w:p>
    <w:p>
      <w:pPr>
        <w:spacing w:before="80" w:after="80"/>
      </w:pPr>
      <w:r>
        <w:rPr>
          <w:rFonts w:ascii="Arial" w:cs="Arial" w:eastAsia="Arial" w:hAnsi="Arial"/>
          <w:sz w:val="22"/>
          <w:szCs w:val="22"/>
        </w:rPr>
        <w:t xml:space="preserve">Child maintenance vs spousal maintenance UK — these two types of financial support are frequently confused, but they are fundamentally different in how they work, who decides them, and what they are for. Understanding the distinction is essential for anyone going through divorce or separation in England and Wales. Getting this wrong can mean missing out on payments you are entitled to, or taking on obligations you could have structured differently.</w:t>
      </w:r>
    </w:p>
    <w:p>
      <w:pPr>
        <w:pStyle w:val="Heading2"/>
        <w:spacing w:before="300" w:after="140"/>
      </w:pPr>
      <w:r>
        <w:rPr>
          <w:rFonts w:ascii="Arial" w:cs="Arial" w:eastAsia="Arial" w:hAnsi="Arial"/>
          <w:b/>
          <w:bCs/>
          <w:color w:val="2563a8"/>
          <w:sz w:val="28"/>
          <w:szCs w:val="28"/>
        </w:rPr>
        <w:t xml:space="preserve">What is Child Maintenance?</w:t>
      </w:r>
    </w:p>
    <w:p>
      <w:pPr>
        <w:spacing w:before="80" w:after="80"/>
      </w:pPr>
      <w:r>
        <w:rPr>
          <w:rFonts w:ascii="Arial" w:cs="Arial" w:eastAsia="Arial" w:hAnsi="Arial"/>
          <w:sz w:val="22"/>
          <w:szCs w:val="22"/>
        </w:rPr>
        <w:t xml:space="preserve">Child maintenance is a regular payment made by the non-resident parent (the one the child does not live with most of the time) to the resident parent, for the benefit of the child or children. It is not about the adults' relationship — it is entirely about the children's financial needs.</w:t>
      </w:r>
    </w:p>
    <w:p>
      <w:pPr>
        <w:spacing w:before="220" w:after="100"/>
      </w:pPr>
      <w:r>
        <w:rPr>
          <w:rFonts w:ascii="Arial" w:cs="Arial" w:eastAsia="Arial" w:hAnsi="Arial"/>
          <w:b/>
          <w:bCs/>
          <w:color w:val="1a3c5e"/>
          <w:sz w:val="24"/>
          <w:szCs w:val="24"/>
        </w:rPr>
        <w:t xml:space="preserve">How it is calculated</w:t>
      </w:r>
    </w:p>
    <w:p>
      <w:pPr>
        <w:spacing w:before="80" w:after="80"/>
      </w:pPr>
      <w:r>
        <w:rPr>
          <w:rFonts w:ascii="Arial" w:cs="Arial" w:eastAsia="Arial" w:hAnsi="Arial"/>
          <w:sz w:val="22"/>
          <w:szCs w:val="22"/>
        </w:rPr>
        <w:t xml:space="preserve">Child maintenance is calculated using the Child Maintenance Service (CMS) formula, based primarily on the paying parent's gross weekly income:</w:t>
      </w:r>
    </w:p>
    <w:p>
      <w:pPr>
        <w:pStyle w:val="ListParagraph"/>
        <w:numPr>
          <w:ilvl w:val="0"/>
          <w:numId w:val="2"/>
        </w:numPr>
        <w:spacing w:before="60" w:after="60"/>
      </w:pPr>
      <w:r>
        <w:rPr>
          <w:rFonts w:ascii="Arial" w:cs="Arial" w:eastAsia="Arial" w:hAnsi="Arial"/>
          <w:sz w:val="22"/>
          <w:szCs w:val="22"/>
        </w:rPr>
        <w:t xml:space="preserve">1 child: 12% of gross weekly income (standard rate)</w:t>
      </w:r>
    </w:p>
    <w:p>
      <w:pPr>
        <w:pStyle w:val="ListParagraph"/>
        <w:numPr>
          <w:ilvl w:val="0"/>
          <w:numId w:val="2"/>
        </w:numPr>
        <w:spacing w:before="60" w:after="60"/>
      </w:pPr>
      <w:r>
        <w:rPr>
          <w:rFonts w:ascii="Arial" w:cs="Arial" w:eastAsia="Arial" w:hAnsi="Arial"/>
          <w:sz w:val="22"/>
          <w:szCs w:val="22"/>
        </w:rPr>
        <w:t xml:space="preserve">2 children: 16% of gross weekly income (standard rate)</w:t>
      </w:r>
    </w:p>
    <w:p>
      <w:pPr>
        <w:pStyle w:val="ListParagraph"/>
        <w:numPr>
          <w:ilvl w:val="0"/>
          <w:numId w:val="2"/>
        </w:numPr>
        <w:spacing w:before="60" w:after="60"/>
      </w:pPr>
      <w:r>
        <w:rPr>
          <w:rFonts w:ascii="Arial" w:cs="Arial" w:eastAsia="Arial" w:hAnsi="Arial"/>
          <w:sz w:val="22"/>
          <w:szCs w:val="22"/>
        </w:rPr>
        <w:t xml:space="preserve">3+ children: 19% of gross weekly income (standard rate)</w:t>
      </w:r>
    </w:p>
    <w:p>
      <w:pPr>
        <w:spacing w:before="80" w:after="80"/>
      </w:pPr>
      <w:r>
        <w:rPr>
          <w:rFonts w:ascii="Arial" w:cs="Arial" w:eastAsia="Arial" w:hAnsi="Arial"/>
          <w:sz w:val="22"/>
          <w:szCs w:val="22"/>
        </w:rPr>
        <w:t xml:space="preserve">Reductions apply where the paying parent has the child overnight on average — one-seventh reduction per night per week. Special rules apply at low and high income levels.</w:t>
      </w:r>
    </w:p>
    <w:p>
      <w:pPr>
        <w:spacing w:before="220" w:after="100"/>
      </w:pPr>
      <w:r>
        <w:rPr>
          <w:rFonts w:ascii="Arial" w:cs="Arial" w:eastAsia="Arial" w:hAnsi="Arial"/>
          <w:b/>
          <w:bCs/>
          <w:color w:val="1a3c5e"/>
          <w:sz w:val="24"/>
          <w:szCs w:val="24"/>
        </w:rPr>
        <w:t xml:space="preserve">Who decides it</w:t>
      </w:r>
    </w:p>
    <w:p>
      <w:pPr>
        <w:spacing w:before="80" w:after="80"/>
      </w:pPr>
      <w:r>
        <w:rPr>
          <w:rFonts w:ascii="Arial" w:cs="Arial" w:eastAsia="Arial" w:hAnsi="Arial"/>
          <w:sz w:val="22"/>
          <w:szCs w:val="22"/>
        </w:rPr>
        <w:t xml:space="preserve">The CMS formula operates independently of the courts. Parents can make a 'family-based arrangement' privately, but after 12 months, either party can apply to CMS and any court order for child maintenance becomes unenforceable. Child maintenance cannot be waived in a consent order — it remains variable through CMS regardless.</w:t>
      </w:r>
    </w:p>
    <w:p>
      <w:pPr>
        <w:pStyle w:val="Heading2"/>
        <w:spacing w:before="300" w:after="140"/>
      </w:pPr>
      <w:r>
        <w:rPr>
          <w:rFonts w:ascii="Arial" w:cs="Arial" w:eastAsia="Arial" w:hAnsi="Arial"/>
          <w:b/>
          <w:bCs/>
          <w:color w:val="2563a8"/>
          <w:sz w:val="28"/>
          <w:szCs w:val="28"/>
        </w:rPr>
        <w:t xml:space="preserve">What is Spousal Maintenance?</w:t>
      </w:r>
    </w:p>
    <w:p>
      <w:pPr>
        <w:spacing w:before="80" w:after="80"/>
      </w:pPr>
      <w:r>
        <w:rPr>
          <w:rFonts w:ascii="Arial" w:cs="Arial" w:eastAsia="Arial" w:hAnsi="Arial"/>
          <w:sz w:val="22"/>
          <w:szCs w:val="22"/>
        </w:rPr>
        <w:t xml:space="preserve">Spousal maintenance (also called periodical payments) is a regular payment from one former spouse to the other. It is designed to bridge a shortfall in the financially weaker party's income — not for the children's benefit, but for the adult recipient. It is entirely separate from child maintenance.</w:t>
      </w:r>
    </w:p>
    <w:p>
      <w:pPr>
        <w:spacing w:before="220" w:after="100"/>
      </w:pPr>
      <w:r>
        <w:rPr>
          <w:rFonts w:ascii="Arial" w:cs="Arial" w:eastAsia="Arial" w:hAnsi="Arial"/>
          <w:b/>
          <w:bCs/>
          <w:color w:val="1a3c5e"/>
          <w:sz w:val="24"/>
          <w:szCs w:val="24"/>
        </w:rPr>
        <w:t xml:space="preserve">How it is calculated</w:t>
      </w:r>
    </w:p>
    <w:p>
      <w:pPr>
        <w:spacing w:before="80" w:after="80"/>
      </w:pPr>
      <w:r>
        <w:rPr>
          <w:rFonts w:ascii="Arial" w:cs="Arial" w:eastAsia="Arial" w:hAnsi="Arial"/>
          <w:sz w:val="22"/>
          <w:szCs w:val="22"/>
        </w:rPr>
        <w:t xml:space="preserve">There is no formula. Courts assess:</w:t>
      </w:r>
    </w:p>
    <w:p>
      <w:pPr>
        <w:pStyle w:val="ListParagraph"/>
        <w:numPr>
          <w:ilvl w:val="0"/>
          <w:numId w:val="2"/>
        </w:numPr>
        <w:spacing w:before="60" w:after="60"/>
      </w:pPr>
      <w:r>
        <w:rPr>
          <w:rFonts w:ascii="Arial" w:cs="Arial" w:eastAsia="Arial" w:hAnsi="Arial"/>
          <w:sz w:val="22"/>
          <w:szCs w:val="22"/>
        </w:rPr>
        <w:t xml:space="preserve">The receiving party's monthly outgoings (their 'needs budget')</w:t>
      </w:r>
    </w:p>
    <w:p>
      <w:pPr>
        <w:pStyle w:val="ListParagraph"/>
        <w:numPr>
          <w:ilvl w:val="0"/>
          <w:numId w:val="2"/>
        </w:numPr>
        <w:spacing w:before="60" w:after="60"/>
      </w:pPr>
      <w:r>
        <w:rPr>
          <w:rFonts w:ascii="Arial" w:cs="Arial" w:eastAsia="Arial" w:hAnsi="Arial"/>
          <w:sz w:val="22"/>
          <w:szCs w:val="22"/>
        </w:rPr>
        <w:t xml:space="preserve">Their current income and realistic earning capacity</w:t>
      </w:r>
    </w:p>
    <w:p>
      <w:pPr>
        <w:pStyle w:val="ListParagraph"/>
        <w:numPr>
          <w:ilvl w:val="0"/>
          <w:numId w:val="2"/>
        </w:numPr>
        <w:spacing w:before="60" w:after="60"/>
      </w:pPr>
      <w:r>
        <w:rPr>
          <w:rFonts w:ascii="Arial" w:cs="Arial" w:eastAsia="Arial" w:hAnsi="Arial"/>
          <w:sz w:val="22"/>
          <w:szCs w:val="22"/>
        </w:rPr>
        <w:t xml:space="preserve">The paying party's income and their own needs after paying maintenance</w:t>
      </w:r>
    </w:p>
    <w:p>
      <w:pPr>
        <w:spacing w:before="80" w:after="80"/>
      </w:pPr>
      <w:r>
        <w:rPr>
          <w:rFonts w:ascii="Arial" w:cs="Arial" w:eastAsia="Arial" w:hAnsi="Arial"/>
          <w:sz w:val="22"/>
          <w:szCs w:val="22"/>
        </w:rPr>
        <w:t xml:space="preserve">The amount is broadly set to bridge the gap between the recipient's income and their reasonable outgoings — typically covering around 50-70% of the shortfall. This varies significantly by case.</w:t>
      </w:r>
    </w:p>
    <w:p>
      <w:pPr>
        <w:spacing w:before="220" w:after="100"/>
      </w:pPr>
      <w:r>
        <w:rPr>
          <w:rFonts w:ascii="Arial" w:cs="Arial" w:eastAsia="Arial" w:hAnsi="Arial"/>
          <w:b/>
          <w:bCs/>
          <w:color w:val="1a3c5e"/>
          <w:sz w:val="24"/>
          <w:szCs w:val="24"/>
        </w:rPr>
        <w:t xml:space="preserve">Who decides it</w:t>
      </w:r>
    </w:p>
    <w:p>
      <w:pPr>
        <w:spacing w:before="80" w:after="80"/>
      </w:pPr>
      <w:r>
        <w:rPr>
          <w:rFonts w:ascii="Arial" w:cs="Arial" w:eastAsia="Arial" w:hAnsi="Arial"/>
          <w:sz w:val="22"/>
          <w:szCs w:val="22"/>
        </w:rPr>
        <w:t xml:space="preserve">Spousal maintenance is decided either by agreement (formalised in a consent order) or by the court in financial remedy proceedings. Unlike child maintenance, a court order for spousal maintenance can be permanently ended by a clean break clause. It automatically ends on the recipient's remarriage.</w:t>
      </w:r>
    </w:p>
    <w:p>
      <w:pPr>
        <w:pStyle w:val="Heading2"/>
        <w:spacing w:before="300" w:after="140"/>
      </w:pPr>
      <w:r>
        <w:rPr>
          <w:rFonts w:ascii="Arial" w:cs="Arial" w:eastAsia="Arial" w:hAnsi="Arial"/>
          <w:b/>
          <w:bCs/>
          <w:color w:val="2563a8"/>
          <w:sz w:val="28"/>
          <w:szCs w:val="28"/>
        </w:rPr>
        <w:t xml:space="preserve">Key Differences at a Glance</w:t>
      </w:r>
    </w:p>
    <w:p>
      <w:pPr>
        <w:pStyle w:val="ListParagraph"/>
        <w:numPr>
          <w:ilvl w:val="0"/>
          <w:numId w:val="2"/>
        </w:numPr>
        <w:spacing w:before="60" w:after="60"/>
      </w:pPr>
      <w:r>
        <w:rPr>
          <w:rFonts w:ascii="Arial" w:cs="Arial" w:eastAsia="Arial" w:hAnsi="Arial"/>
          <w:sz w:val="22"/>
          <w:szCs w:val="22"/>
        </w:rPr>
        <w:t xml:space="preserve">Child maintenance: for children's benefit; CMS formula; cannot be ended by consent order; varies with income changes</w:t>
      </w:r>
    </w:p>
    <w:p>
      <w:pPr>
        <w:pStyle w:val="ListParagraph"/>
        <w:numPr>
          <w:ilvl w:val="0"/>
          <w:numId w:val="2"/>
        </w:numPr>
        <w:spacing w:before="60" w:after="60"/>
      </w:pPr>
      <w:r>
        <w:rPr>
          <w:rFonts w:ascii="Arial" w:cs="Arial" w:eastAsia="Arial" w:hAnsi="Arial"/>
          <w:sz w:val="22"/>
          <w:szCs w:val="22"/>
        </w:rPr>
        <w:t xml:space="preserve">Spousal maintenance: for former spouse; no formula; can be ended by clean break; ends on recipient's remarriage</w:t>
      </w:r>
    </w:p>
    <w:p>
      <w:pPr>
        <w:pStyle w:val="ListParagraph"/>
        <w:numPr>
          <w:ilvl w:val="0"/>
          <w:numId w:val="2"/>
        </w:numPr>
        <w:spacing w:before="60" w:after="60"/>
      </w:pPr>
      <w:r>
        <w:rPr>
          <w:rFonts w:ascii="Arial" w:cs="Arial" w:eastAsia="Arial" w:hAnsi="Arial"/>
          <w:sz w:val="22"/>
          <w:szCs w:val="22"/>
        </w:rPr>
        <w:t xml:space="preserve">Child maintenance: calculated by CMS regardless of court orders after 12 months</w:t>
      </w:r>
    </w:p>
    <w:p>
      <w:pPr>
        <w:pStyle w:val="ListParagraph"/>
        <w:numPr>
          <w:ilvl w:val="0"/>
          <w:numId w:val="2"/>
        </w:numPr>
        <w:spacing w:before="60" w:after="60"/>
      </w:pPr>
      <w:r>
        <w:rPr>
          <w:rFonts w:ascii="Arial" w:cs="Arial" w:eastAsia="Arial" w:hAnsi="Arial"/>
          <w:sz w:val="22"/>
          <w:szCs w:val="22"/>
        </w:rPr>
        <w:t xml:space="preserve">Spousal maintenance: decided by court or agreement; can be capitalised into a lump sum</w:t>
      </w:r>
    </w:p>
    <w:p>
      <w:pPr>
        <w:pStyle w:val="Heading2"/>
        <w:spacing w:before="300" w:after="140"/>
      </w:pPr>
      <w:r>
        <w:rPr>
          <w:rFonts w:ascii="Arial" w:cs="Arial" w:eastAsia="Arial" w:hAnsi="Arial"/>
          <w:b/>
          <w:bCs/>
          <w:color w:val="2563a8"/>
          <w:sz w:val="28"/>
          <w:szCs w:val="28"/>
        </w:rPr>
        <w:t xml:space="preserve">Can Both Be Paid Simultaneously?</w:t>
      </w:r>
    </w:p>
    <w:p>
      <w:pPr>
        <w:spacing w:before="80" w:after="80"/>
      </w:pPr>
      <w:r>
        <w:rPr>
          <w:rFonts w:ascii="Arial" w:cs="Arial" w:eastAsia="Arial" w:hAnsi="Arial"/>
          <w:sz w:val="22"/>
          <w:szCs w:val="22"/>
        </w:rPr>
        <w:t xml:space="preserve">Yes — and it is common in divorces with children where there is a significant income gap. A paying parent may simultaneously pay CMS-assessed child maintenance and court-ordered spousal maintenance. Both obligations must be met from their income and both are taken into account when assessing their overall financial position.</w:t>
      </w:r>
    </w:p>
    <w:p>
      <w:pPr>
        <w:pStyle w:val="Heading2"/>
        <w:spacing w:before="300" w:after="140"/>
      </w:pPr>
      <w:r>
        <w:rPr>
          <w:rFonts w:ascii="Arial" w:cs="Arial" w:eastAsia="Arial" w:hAnsi="Arial"/>
          <w:b/>
          <w:bCs/>
          <w:color w:val="2563a8"/>
          <w:sz w:val="28"/>
          <w:szCs w:val="28"/>
        </w:rPr>
        <w:t xml:space="preserve">Modelling Both Together</w:t>
      </w:r>
    </w:p>
    <w:p>
      <w:pPr>
        <w:spacing w:before="80" w:after="80"/>
      </w:pPr>
      <w:r>
        <w:rPr>
          <w:rFonts w:ascii="Arial" w:cs="Arial" w:eastAsia="Arial" w:hAnsi="Arial"/>
          <w:sz w:val="22"/>
          <w:szCs w:val="22"/>
        </w:rPr>
        <w:t xml:space="preserve">A divorce financial settlement calculator that models both child and spousal maintenance together gives a much clearer picture of post-divorce cash flow for both parties. Understanding the combined maintenance burden — and how it compares to a clean break alternative — is one of the most important calculations before finalising any settlement.</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Child maintenance is formula-based, for children's benefit, and managed through CMS</w:t>
      </w:r>
    </w:p>
    <w:p>
      <w:pPr>
        <w:pStyle w:val="ListParagraph"/>
        <w:numPr>
          <w:ilvl w:val="0"/>
          <w:numId w:val="2"/>
        </w:numPr>
        <w:spacing w:before="60" w:after="60"/>
      </w:pPr>
      <w:r>
        <w:rPr>
          <w:rFonts w:ascii="Arial" w:cs="Arial" w:eastAsia="Arial" w:hAnsi="Arial"/>
          <w:sz w:val="22"/>
          <w:szCs w:val="22"/>
        </w:rPr>
        <w:t xml:space="preserve">Spousal maintenance is needs-based, for the former spouse, and decided by court or agreement</w:t>
      </w:r>
    </w:p>
    <w:p>
      <w:pPr>
        <w:pStyle w:val="ListParagraph"/>
        <w:numPr>
          <w:ilvl w:val="0"/>
          <w:numId w:val="2"/>
        </w:numPr>
        <w:spacing w:before="60" w:after="60"/>
      </w:pPr>
      <w:r>
        <w:rPr>
          <w:rFonts w:ascii="Arial" w:cs="Arial" w:eastAsia="Arial" w:hAnsi="Arial"/>
          <w:sz w:val="22"/>
          <w:szCs w:val="22"/>
        </w:rPr>
        <w:t xml:space="preserve">Both can be paid simultaneously in appropriate cases</w:t>
      </w:r>
    </w:p>
    <w:p>
      <w:pPr>
        <w:pStyle w:val="ListParagraph"/>
        <w:numPr>
          <w:ilvl w:val="0"/>
          <w:numId w:val="2"/>
        </w:numPr>
        <w:spacing w:before="60" w:after="60"/>
      </w:pPr>
      <w:r>
        <w:rPr>
          <w:rFonts w:ascii="Arial" w:cs="Arial" w:eastAsia="Arial" w:hAnsi="Arial"/>
          <w:sz w:val="22"/>
          <w:szCs w:val="22"/>
        </w:rPr>
        <w:t xml:space="preserve">Child maintenance cannot be permanently waived; spousal maintenance can be ended by clean break</w:t>
      </w:r>
    </w:p>
    <w:p>
      <w:pPr>
        <w:pStyle w:val="ListParagraph"/>
        <w:numPr>
          <w:ilvl w:val="0"/>
          <w:numId w:val="2"/>
        </w:numPr>
        <w:spacing w:before="60" w:after="60"/>
      </w:pPr>
      <w:r>
        <w:rPr>
          <w:rFonts w:ascii="Arial" w:cs="Arial" w:eastAsia="Arial" w:hAnsi="Arial"/>
          <w:sz w:val="22"/>
          <w:szCs w:val="22"/>
        </w:rPr>
        <w:t xml:space="preserve">Capitalising spousal maintenance (replacing ongoing payments with a lump sum) is a common alternative</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I offset child maintenance against spousal maintenance?</w:t>
      </w:r>
    </w:p>
    <w:p>
      <w:pPr>
        <w:spacing w:before="80" w:after="80"/>
      </w:pPr>
      <w:r>
        <w:rPr>
          <w:rFonts w:ascii="Arial" w:cs="Arial" w:eastAsia="Arial" w:hAnsi="Arial"/>
          <w:sz w:val="22"/>
          <w:szCs w:val="22"/>
        </w:rPr>
        <w:t xml:space="preserve">No. They are entirely separate obligations. Child maintenance is owed to the child (via the resident parent) and cannot be reduced because spousal maintenance is also being paid, and vice versa.</w:t>
      </w:r>
    </w:p>
    <w:p>
      <w:pPr>
        <w:spacing w:before="220" w:after="100"/>
      </w:pPr>
      <w:r>
        <w:rPr>
          <w:rFonts w:ascii="Arial" w:cs="Arial" w:eastAsia="Arial" w:hAnsi="Arial"/>
          <w:b/>
          <w:bCs/>
          <w:color w:val="1a3c5e"/>
          <w:sz w:val="24"/>
          <w:szCs w:val="24"/>
        </w:rPr>
        <w:t xml:space="preserve">Does spousal maintenance reduce if I'm also paying child maintenance?</w:t>
      </w:r>
    </w:p>
    <w:p>
      <w:pPr>
        <w:spacing w:before="80" w:after="80"/>
      </w:pPr>
      <w:r>
        <w:rPr>
          <w:rFonts w:ascii="Arial" w:cs="Arial" w:eastAsia="Arial" w:hAnsi="Arial"/>
          <w:sz w:val="22"/>
          <w:szCs w:val="22"/>
        </w:rPr>
        <w:t xml:space="preserve">Paying child maintenance reduces the paying party's disposable income, which courts take into account when setting spousal maintenance. It does not automatically reduce spousal maintenance, but it is a relevant factor.</w:t>
      </w:r>
    </w:p>
    <w:p>
      <w:pPr>
        <w:spacing w:before="220" w:after="100"/>
      </w:pPr>
      <w:r>
        <w:rPr>
          <w:rFonts w:ascii="Arial" w:cs="Arial" w:eastAsia="Arial" w:hAnsi="Arial"/>
          <w:b/>
          <w:bCs/>
          <w:color w:val="1a3c5e"/>
          <w:sz w:val="24"/>
          <w:szCs w:val="24"/>
        </w:rPr>
        <w:t xml:space="preserve">Can I agree child maintenance in a consent order?</w:t>
      </w:r>
    </w:p>
    <w:p>
      <w:pPr>
        <w:spacing w:before="80" w:after="80"/>
      </w:pPr>
      <w:r>
        <w:rPr>
          <w:rFonts w:ascii="Arial" w:cs="Arial" w:eastAsia="Arial" w:hAnsi="Arial"/>
          <w:sz w:val="22"/>
          <w:szCs w:val="22"/>
        </w:rPr>
        <w:t xml:space="preserve">You can include agreed child maintenance in a consent order, but it becomes unenforceable after 12 months if either party applies to CMS. For ongoing certainty, most people either use a family-based arrangement or rely on CMS from the outset.</w:t>
      </w:r>
    </w:p>
    <w:p>
      <w:pPr>
        <w:spacing w:before="220" w:after="100"/>
      </w:pPr>
      <w:r>
        <w:rPr>
          <w:rFonts w:ascii="Arial" w:cs="Arial" w:eastAsia="Arial" w:hAnsi="Arial"/>
          <w:b/>
          <w:bCs/>
          <w:color w:val="1a3c5e"/>
          <w:sz w:val="24"/>
          <w:szCs w:val="24"/>
        </w:rPr>
        <w:t xml:space="preserve">What if my income changes after the divorce?</w:t>
      </w:r>
    </w:p>
    <w:p>
      <w:pPr>
        <w:spacing w:before="80" w:after="80"/>
      </w:pPr>
      <w:r>
        <w:rPr>
          <w:rFonts w:ascii="Arial" w:cs="Arial" w:eastAsia="Arial" w:hAnsi="Arial"/>
          <w:sz w:val="22"/>
          <w:szCs w:val="22"/>
        </w:rPr>
        <w:t xml:space="preserve">CMS recalculates child maintenance annually or on request if income changes significantly. Spousal maintenance orders can be varied by court application if there is a material change in circumstances.</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Who Pays What After Divorce with Children UK? A Parent's Financial Guide</w:t>
      </w:r>
    </w:p>
    <w:p>
      <w:pPr>
        <w:spacing w:before="80" w:after="80"/>
      </w:pPr>
      <w:r>
        <w:rPr>
          <w:rFonts w:ascii="Arial" w:cs="Arial" w:eastAsia="Arial" w:hAnsi="Arial"/>
          <w:sz w:val="22"/>
          <w:szCs w:val="22"/>
        </w:rPr>
        <w:t xml:space="preserve">Who pays what after divorce with children UK is a practical question every separating parent needs to answer clearly. Divorce with children creates a layered set of financial obligations — some governed by formula, some by agreement, and some by court order. Understanding each layer helps you plan realistically for life after separation and ensures you are neither paying more than you should nor receiving less than you are entitled to.</w:t>
      </w:r>
    </w:p>
    <w:p>
      <w:pPr>
        <w:pStyle w:val="Heading2"/>
        <w:spacing w:before="300" w:after="140"/>
      </w:pPr>
      <w:r>
        <w:rPr>
          <w:rFonts w:ascii="Arial" w:cs="Arial" w:eastAsia="Arial" w:hAnsi="Arial"/>
          <w:b/>
          <w:bCs/>
          <w:color w:val="2563a8"/>
          <w:sz w:val="28"/>
          <w:szCs w:val="28"/>
        </w:rPr>
        <w:t xml:space="preserve">Layer 1: Child Maintenance — the Non-Negotiable Starting Point</w:t>
      </w:r>
    </w:p>
    <w:p>
      <w:pPr>
        <w:spacing w:before="80" w:after="80"/>
      </w:pPr>
      <w:r>
        <w:rPr>
          <w:rFonts w:ascii="Arial" w:cs="Arial" w:eastAsia="Arial" w:hAnsi="Arial"/>
          <w:sz w:val="22"/>
          <w:szCs w:val="22"/>
        </w:rPr>
        <w:t xml:space="preserve">The non-resident parent (the parent the children live with less of the time) pays child maintenance to the resident parent. This is calculated by the Child Maintenance Service (CMS) formula based on gross income:</w:t>
      </w:r>
    </w:p>
    <w:p>
      <w:pPr>
        <w:pStyle w:val="ListParagraph"/>
        <w:numPr>
          <w:ilvl w:val="0"/>
          <w:numId w:val="2"/>
        </w:numPr>
        <w:spacing w:before="60" w:after="60"/>
      </w:pPr>
      <w:r>
        <w:rPr>
          <w:rFonts w:ascii="Arial" w:cs="Arial" w:eastAsia="Arial" w:hAnsi="Arial"/>
          <w:sz w:val="22"/>
          <w:szCs w:val="22"/>
        </w:rPr>
        <w:t xml:space="preserve">1 child: 12% of gross weekly income</w:t>
      </w:r>
    </w:p>
    <w:p>
      <w:pPr>
        <w:pStyle w:val="ListParagraph"/>
        <w:numPr>
          <w:ilvl w:val="0"/>
          <w:numId w:val="2"/>
        </w:numPr>
        <w:spacing w:before="60" w:after="60"/>
      </w:pPr>
      <w:r>
        <w:rPr>
          <w:rFonts w:ascii="Arial" w:cs="Arial" w:eastAsia="Arial" w:hAnsi="Arial"/>
          <w:sz w:val="22"/>
          <w:szCs w:val="22"/>
        </w:rPr>
        <w:t xml:space="preserve">2 children: 16% of gross weekly income</w:t>
      </w:r>
    </w:p>
    <w:p>
      <w:pPr>
        <w:pStyle w:val="ListParagraph"/>
        <w:numPr>
          <w:ilvl w:val="0"/>
          <w:numId w:val="2"/>
        </w:numPr>
        <w:spacing w:before="60" w:after="60"/>
      </w:pPr>
      <w:r>
        <w:rPr>
          <w:rFonts w:ascii="Arial" w:cs="Arial" w:eastAsia="Arial" w:hAnsi="Arial"/>
          <w:sz w:val="22"/>
          <w:szCs w:val="22"/>
        </w:rPr>
        <w:t xml:space="preserve">3 or more children: 19% of gross weekly income</w:t>
      </w:r>
    </w:p>
    <w:p>
      <w:pPr>
        <w:spacing w:before="80" w:after="80"/>
      </w:pPr>
      <w:r>
        <w:rPr>
          <w:rFonts w:ascii="Arial" w:cs="Arial" w:eastAsia="Arial" w:hAnsi="Arial"/>
          <w:sz w:val="22"/>
          <w:szCs w:val="22"/>
        </w:rPr>
        <w:t xml:space="preserve">Overnight stays reduce this. For example, 52-103 nights per year with the paying parent reduces the standard rate by one-seventh. The paying parent also pays a CMS administration fee unless they use Collect and Pay from the start.</w:t>
      </w:r>
    </w:p>
    <w:p>
      <w:pPr>
        <w:pStyle w:val="Heading2"/>
        <w:spacing w:before="300" w:after="140"/>
      </w:pPr>
      <w:r>
        <w:rPr>
          <w:rFonts w:ascii="Arial" w:cs="Arial" w:eastAsia="Arial" w:hAnsi="Arial"/>
          <w:b/>
          <w:bCs/>
          <w:color w:val="2563a8"/>
          <w:sz w:val="28"/>
          <w:szCs w:val="28"/>
        </w:rPr>
        <w:t xml:space="preserve">Layer 2: Housing Costs</w:t>
      </w:r>
    </w:p>
    <w:p>
      <w:pPr>
        <w:spacing w:before="80" w:after="80"/>
      </w:pPr>
      <w:r>
        <w:rPr>
          <w:rFonts w:ascii="Arial" w:cs="Arial" w:eastAsia="Arial" w:hAnsi="Arial"/>
          <w:sz w:val="22"/>
          <w:szCs w:val="22"/>
        </w:rPr>
        <w:t xml:space="preserve">The parent with primary care typically needs more space — and courts ensure this need is addressed in the financial settlement. This might mean:</w:t>
      </w:r>
    </w:p>
    <w:p>
      <w:pPr>
        <w:pStyle w:val="ListParagraph"/>
        <w:numPr>
          <w:ilvl w:val="0"/>
          <w:numId w:val="2"/>
        </w:numPr>
        <w:spacing w:before="60" w:after="60"/>
      </w:pPr>
      <w:r>
        <w:rPr>
          <w:rFonts w:ascii="Arial" w:cs="Arial" w:eastAsia="Arial" w:hAnsi="Arial"/>
          <w:sz w:val="22"/>
          <w:szCs w:val="22"/>
        </w:rPr>
        <w:t xml:space="preserve">The primary carer staying in the family home (under a Mesher Order or buyout)</w:t>
      </w:r>
    </w:p>
    <w:p>
      <w:pPr>
        <w:pStyle w:val="ListParagraph"/>
        <w:numPr>
          <w:ilvl w:val="0"/>
          <w:numId w:val="2"/>
        </w:numPr>
        <w:spacing w:before="60" w:after="60"/>
      </w:pPr>
      <w:r>
        <w:rPr>
          <w:rFonts w:ascii="Arial" w:cs="Arial" w:eastAsia="Arial" w:hAnsi="Arial"/>
          <w:sz w:val="22"/>
          <w:szCs w:val="22"/>
        </w:rPr>
        <w:t xml:space="preserve">A larger share of equity to allow the primary carer to rehouse with the children</w:t>
      </w:r>
    </w:p>
    <w:p>
      <w:pPr>
        <w:pStyle w:val="ListParagraph"/>
        <w:numPr>
          <w:ilvl w:val="0"/>
          <w:numId w:val="2"/>
        </w:numPr>
        <w:spacing w:before="60" w:after="60"/>
      </w:pPr>
      <w:r>
        <w:rPr>
          <w:rFonts w:ascii="Arial" w:cs="Arial" w:eastAsia="Arial" w:hAnsi="Arial"/>
          <w:sz w:val="22"/>
          <w:szCs w:val="22"/>
        </w:rPr>
        <w:t xml:space="preserve">Both parents needing suitable accommodation for children (particularly in shared care)</w:t>
      </w:r>
    </w:p>
    <w:p>
      <w:pPr>
        <w:pStyle w:val="Heading2"/>
        <w:spacing w:before="300" w:after="140"/>
      </w:pPr>
      <w:r>
        <w:rPr>
          <w:rFonts w:ascii="Arial" w:cs="Arial" w:eastAsia="Arial" w:hAnsi="Arial"/>
          <w:b/>
          <w:bCs/>
          <w:color w:val="2563a8"/>
          <w:sz w:val="28"/>
          <w:szCs w:val="28"/>
        </w:rPr>
        <w:t xml:space="preserve">Layer 3: Spousal Maintenance (Where Applicable)</w:t>
      </w:r>
    </w:p>
    <w:p>
      <w:pPr>
        <w:spacing w:before="80" w:after="80"/>
      </w:pPr>
      <w:r>
        <w:rPr>
          <w:rFonts w:ascii="Arial" w:cs="Arial" w:eastAsia="Arial" w:hAnsi="Arial"/>
          <w:sz w:val="22"/>
          <w:szCs w:val="22"/>
        </w:rPr>
        <w:t xml:space="preserve">Where one parent has significantly lower income — often because they reduced work to care for children — the court may award spousal maintenance on top of child maintenance. This is assessed on needs, not formula. It recognises that the income gap may not be fully explained by current income differences alone, but by career sacrifices made during the marriage.</w:t>
      </w:r>
    </w:p>
    <w:p>
      <w:pPr>
        <w:pStyle w:val="Heading2"/>
        <w:spacing w:before="300" w:after="140"/>
      </w:pPr>
      <w:r>
        <w:rPr>
          <w:rFonts w:ascii="Arial" w:cs="Arial" w:eastAsia="Arial" w:hAnsi="Arial"/>
          <w:b/>
          <w:bCs/>
          <w:color w:val="2563a8"/>
          <w:sz w:val="28"/>
          <w:szCs w:val="28"/>
        </w:rPr>
        <w:t xml:space="preserve">Layer 4: Day-to-Day Children's Costs After Divorce</w:t>
      </w:r>
    </w:p>
    <w:p>
      <w:pPr>
        <w:spacing w:before="80" w:after="80"/>
      </w:pPr>
      <w:r>
        <w:rPr>
          <w:rFonts w:ascii="Arial" w:cs="Arial" w:eastAsia="Arial" w:hAnsi="Arial"/>
          <w:sz w:val="22"/>
          <w:szCs w:val="22"/>
        </w:rPr>
        <w:t xml:space="preserve">Beyond formal maintenance and housing, parents must agree (or manage disagreements about):</w:t>
      </w:r>
    </w:p>
    <w:p>
      <w:pPr>
        <w:pStyle w:val="ListParagraph"/>
        <w:numPr>
          <w:ilvl w:val="0"/>
          <w:numId w:val="2"/>
        </w:numPr>
        <w:spacing w:before="60" w:after="60"/>
      </w:pPr>
      <w:r>
        <w:rPr>
          <w:rFonts w:ascii="Arial" w:cs="Arial" w:eastAsia="Arial" w:hAnsi="Arial"/>
          <w:sz w:val="22"/>
          <w:szCs w:val="22"/>
        </w:rPr>
        <w:t xml:space="preserve">School uniform, trips, and extracurricular activities — typically split proportionally or agreed in advance</w:t>
      </w:r>
    </w:p>
    <w:p>
      <w:pPr>
        <w:pStyle w:val="ListParagraph"/>
        <w:numPr>
          <w:ilvl w:val="0"/>
          <w:numId w:val="2"/>
        </w:numPr>
        <w:spacing w:before="60" w:after="60"/>
      </w:pPr>
      <w:r>
        <w:rPr>
          <w:rFonts w:ascii="Arial" w:cs="Arial" w:eastAsia="Arial" w:hAnsi="Arial"/>
          <w:sz w:val="22"/>
          <w:szCs w:val="22"/>
        </w:rPr>
        <w:t xml:space="preserve">Medical and dental costs not covered by the NHS</w:t>
      </w:r>
    </w:p>
    <w:p>
      <w:pPr>
        <w:pStyle w:val="ListParagraph"/>
        <w:numPr>
          <w:ilvl w:val="0"/>
          <w:numId w:val="2"/>
        </w:numPr>
        <w:spacing w:before="60" w:after="60"/>
      </w:pPr>
      <w:r>
        <w:rPr>
          <w:rFonts w:ascii="Arial" w:cs="Arial" w:eastAsia="Arial" w:hAnsi="Arial"/>
          <w:sz w:val="22"/>
          <w:szCs w:val="22"/>
        </w:rPr>
        <w:t xml:space="preserve">Holiday costs — each parent typically pays for holidays they take the children on</w:t>
      </w:r>
    </w:p>
    <w:p>
      <w:pPr>
        <w:pStyle w:val="ListParagraph"/>
        <w:numPr>
          <w:ilvl w:val="0"/>
          <w:numId w:val="2"/>
        </w:numPr>
        <w:spacing w:before="60" w:after="60"/>
      </w:pPr>
      <w:r>
        <w:rPr>
          <w:rFonts w:ascii="Arial" w:cs="Arial" w:eastAsia="Arial" w:hAnsi="Arial"/>
          <w:sz w:val="22"/>
          <w:szCs w:val="22"/>
        </w:rPr>
        <w:t xml:space="preserve">Childcare costs — these can sometimes form part of a formal maintenance agreement</w:t>
      </w:r>
    </w:p>
    <w:p>
      <w:pPr>
        <w:pStyle w:val="Heading2"/>
        <w:spacing w:before="300" w:after="140"/>
      </w:pPr>
      <w:r>
        <w:rPr>
          <w:rFonts w:ascii="Arial" w:cs="Arial" w:eastAsia="Arial" w:hAnsi="Arial"/>
          <w:b/>
          <w:bCs/>
          <w:color w:val="2563a8"/>
          <w:sz w:val="28"/>
          <w:szCs w:val="28"/>
        </w:rPr>
        <w:t xml:space="preserve">Layer 5: The Pensions — Overlooked but Critical</w:t>
      </w:r>
    </w:p>
    <w:p>
      <w:pPr>
        <w:spacing w:before="80" w:after="80"/>
      </w:pPr>
      <w:r>
        <w:rPr>
          <w:rFonts w:ascii="Arial" w:cs="Arial" w:eastAsia="Arial" w:hAnsi="Arial"/>
          <w:sz w:val="22"/>
          <w:szCs w:val="22"/>
        </w:rPr>
        <w:t xml:space="preserve">Child-focused financial settlements often prioritise the family home over the pension. The primary carer keeps the home; the non-resident parent keeps the pension. This can leave the primary carer with no retirement provision, having sacrificed career for childcare. A divorce financial settlement calculator that includes pension modelling helps reveal whether this trade-off is truly fair in the long run.</w:t>
      </w:r>
    </w:p>
    <w:p>
      <w:pPr>
        <w:pStyle w:val="Heading2"/>
        <w:spacing w:before="300" w:after="140"/>
      </w:pPr>
      <w:r>
        <w:rPr>
          <w:rFonts w:ascii="Arial" w:cs="Arial" w:eastAsia="Arial" w:hAnsi="Arial"/>
          <w:b/>
          <w:bCs/>
          <w:color w:val="2563a8"/>
          <w:sz w:val="28"/>
          <w:szCs w:val="28"/>
        </w:rPr>
        <w:t xml:space="preserve">Real-World Example: The Full Picture</w:t>
      </w:r>
    </w:p>
    <w:p>
      <w:pPr>
        <w:spacing w:before="80" w:after="80"/>
      </w:pPr>
      <w:r>
        <w:rPr>
          <w:rFonts w:ascii="Arial" w:cs="Arial" w:eastAsia="Arial" w:hAnsi="Arial"/>
          <w:sz w:val="22"/>
          <w:szCs w:val="22"/>
        </w:rPr>
        <w:t xml:space="preserve">James (earning £52,000) and Maria (earning £18,000 part-time) have three children (ages 5, 8, 11). The children live primarily with Maria. James pays: child maintenance of approximately £190 per week (19% x gross weekly income, reduced for one overnight per week); spousal maintenance of £450 per month for 4 years; Maria keeps the family home under a Mesher Order. James keeps his pension. Maria retains a smaller pension share.</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Child maintenance is the baseline — CMS formula applies and cannot be permanently waived</w:t>
      </w:r>
    </w:p>
    <w:p>
      <w:pPr>
        <w:pStyle w:val="ListParagraph"/>
        <w:numPr>
          <w:ilvl w:val="0"/>
          <w:numId w:val="2"/>
        </w:numPr>
        <w:spacing w:before="60" w:after="60"/>
      </w:pPr>
      <w:r>
        <w:rPr>
          <w:rFonts w:ascii="Arial" w:cs="Arial" w:eastAsia="Arial" w:hAnsi="Arial"/>
          <w:sz w:val="22"/>
          <w:szCs w:val="22"/>
        </w:rPr>
        <w:t xml:space="preserve">Housing needs for children heavily influence the capital settlement</w:t>
      </w:r>
    </w:p>
    <w:p>
      <w:pPr>
        <w:pStyle w:val="ListParagraph"/>
        <w:numPr>
          <w:ilvl w:val="0"/>
          <w:numId w:val="2"/>
        </w:numPr>
        <w:spacing w:before="60" w:after="60"/>
      </w:pPr>
      <w:r>
        <w:rPr>
          <w:rFonts w:ascii="Arial" w:cs="Arial" w:eastAsia="Arial" w:hAnsi="Arial"/>
          <w:sz w:val="22"/>
          <w:szCs w:val="22"/>
        </w:rPr>
        <w:t xml:space="preserve">Spousal maintenance may be payable on top of child maintenance where income gap reflects career sacrifice</w:t>
      </w:r>
    </w:p>
    <w:p>
      <w:pPr>
        <w:pStyle w:val="ListParagraph"/>
        <w:numPr>
          <w:ilvl w:val="0"/>
          <w:numId w:val="2"/>
        </w:numPr>
        <w:spacing w:before="60" w:after="60"/>
      </w:pPr>
      <w:r>
        <w:rPr>
          <w:rFonts w:ascii="Arial" w:cs="Arial" w:eastAsia="Arial" w:hAnsi="Arial"/>
          <w:sz w:val="22"/>
          <w:szCs w:val="22"/>
        </w:rPr>
        <w:t xml:space="preserve">Day-to-day costs are managed by agreement between parents</w:t>
      </w:r>
    </w:p>
    <w:p>
      <w:pPr>
        <w:pStyle w:val="ListParagraph"/>
        <w:numPr>
          <w:ilvl w:val="0"/>
          <w:numId w:val="2"/>
        </w:numPr>
        <w:spacing w:before="60" w:after="60"/>
      </w:pPr>
      <w:r>
        <w:rPr>
          <w:rFonts w:ascii="Arial" w:cs="Arial" w:eastAsia="Arial" w:hAnsi="Arial"/>
          <w:sz w:val="22"/>
          <w:szCs w:val="22"/>
        </w:rPr>
        <w:t xml:space="preserve">Pension trade-offs in child-focused settlements must be modelled carefully — they can leave primary carers under-provided for in retirement</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Who pays for school fees after divorce?</w:t>
      </w:r>
    </w:p>
    <w:p>
      <w:pPr>
        <w:spacing w:before="80" w:after="80"/>
      </w:pPr>
      <w:r>
        <w:rPr>
          <w:rFonts w:ascii="Arial" w:cs="Arial" w:eastAsia="Arial" w:hAnsi="Arial"/>
          <w:sz w:val="22"/>
          <w:szCs w:val="22"/>
        </w:rPr>
        <w:t xml:space="preserve">Private school fees are not covered by child maintenance. They are treated as a capital expense and must be addressed specifically in the financial settlement — either by agreement, court order, or through a 'top-up' maintenance application if one parent's income is above the CMS cap.</w:t>
      </w:r>
    </w:p>
    <w:p>
      <w:pPr>
        <w:spacing w:before="220" w:after="100"/>
      </w:pPr>
      <w:r>
        <w:rPr>
          <w:rFonts w:ascii="Arial" w:cs="Arial" w:eastAsia="Arial" w:hAnsi="Arial"/>
          <w:b/>
          <w:bCs/>
          <w:color w:val="1a3c5e"/>
          <w:sz w:val="24"/>
          <w:szCs w:val="24"/>
        </w:rPr>
        <w:t xml:space="preserve">What if the non-resident parent earns very little?</w:t>
      </w:r>
    </w:p>
    <w:p>
      <w:pPr>
        <w:spacing w:before="80" w:after="80"/>
      </w:pPr>
      <w:r>
        <w:rPr>
          <w:rFonts w:ascii="Arial" w:cs="Arial" w:eastAsia="Arial" w:hAnsi="Arial"/>
          <w:sz w:val="22"/>
          <w:szCs w:val="22"/>
        </w:rPr>
        <w:t xml:space="preserve">Child maintenance minimum rates apply even on very low incomes. The 'flat rate' of £7 per week applies where gross income is £7-£100 per week. Nil rate applies below £7 per week.</w:t>
      </w:r>
    </w:p>
    <w:p>
      <w:pPr>
        <w:spacing w:before="220" w:after="100"/>
      </w:pPr>
      <w:r>
        <w:rPr>
          <w:rFonts w:ascii="Arial" w:cs="Arial" w:eastAsia="Arial" w:hAnsi="Arial"/>
          <w:b/>
          <w:bCs/>
          <w:color w:val="1a3c5e"/>
          <w:sz w:val="24"/>
          <w:szCs w:val="24"/>
        </w:rPr>
        <w:t xml:space="preserve">Can grandparents be required to contribute?</w:t>
      </w:r>
    </w:p>
    <w:p>
      <w:pPr>
        <w:spacing w:before="80" w:after="80"/>
      </w:pPr>
      <w:r>
        <w:rPr>
          <w:rFonts w:ascii="Arial" w:cs="Arial" w:eastAsia="Arial" w:hAnsi="Arial"/>
          <w:sz w:val="22"/>
          <w:szCs w:val="22"/>
        </w:rPr>
        <w:t xml:space="preserve">No — the obligation is on the parents, not other family members. However, if a grandparent provides substantial financial support to a parent, this can factor into assessments of a parent's overall financial resources.</w:t>
      </w:r>
    </w:p>
    <w:p>
      <w:pPr>
        <w:spacing w:before="220" w:after="100"/>
      </w:pPr>
      <w:r>
        <w:rPr>
          <w:rFonts w:ascii="Arial" w:cs="Arial" w:eastAsia="Arial" w:hAnsi="Arial"/>
          <w:b/>
          <w:bCs/>
          <w:color w:val="1a3c5e"/>
          <w:sz w:val="24"/>
          <w:szCs w:val="24"/>
        </w:rPr>
        <w:t xml:space="preserve">Can child maintenance be included in the divorce consent order?</w:t>
      </w:r>
    </w:p>
    <w:p>
      <w:pPr>
        <w:spacing w:before="80" w:after="80"/>
      </w:pPr>
      <w:r>
        <w:rPr>
          <w:rFonts w:ascii="Arial" w:cs="Arial" w:eastAsia="Arial" w:hAnsi="Arial"/>
          <w:sz w:val="22"/>
          <w:szCs w:val="22"/>
        </w:rPr>
        <w:t xml:space="preserve">Yes, but any such provision becomes unenforceable after 12 months if either party applies to CMS. For ongoing certainty, direct CMS use is often more reliable than a consent order provision.</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Does Having Children Change Divorce Settlement UK? The Impact Explained</w:t>
      </w:r>
    </w:p>
    <w:p>
      <w:pPr>
        <w:spacing w:before="80" w:after="80"/>
      </w:pPr>
      <w:r>
        <w:rPr>
          <w:rFonts w:ascii="Arial" w:cs="Arial" w:eastAsia="Arial" w:hAnsi="Arial"/>
          <w:sz w:val="22"/>
          <w:szCs w:val="22"/>
        </w:rPr>
        <w:t xml:space="preserve">Does having children change divorce settlement UK? Yes — significantly. In England and Wales, the presence of dependent children can change almost every aspect of the financial outcome of a divorce, from how the family home is treated to how assets are divided and what ongoing payments are made. Children do not just add a maintenance element to a settlement — their welfare fundamentally reshapes the entire financial package.</w:t>
      </w:r>
    </w:p>
    <w:p>
      <w:pPr>
        <w:pStyle w:val="Heading2"/>
        <w:spacing w:before="300" w:after="140"/>
      </w:pPr>
      <w:r>
        <w:rPr>
          <w:rFonts w:ascii="Arial" w:cs="Arial" w:eastAsia="Arial" w:hAnsi="Arial"/>
          <w:b/>
          <w:bCs/>
          <w:color w:val="2563a8"/>
          <w:sz w:val="28"/>
          <w:szCs w:val="28"/>
        </w:rPr>
        <w:t xml:space="preserve">Children Change the Priority Order of the Settlement</w:t>
      </w:r>
    </w:p>
    <w:p>
      <w:pPr>
        <w:spacing w:before="80" w:after="80"/>
      </w:pPr>
      <w:r>
        <w:rPr>
          <w:rFonts w:ascii="Arial" w:cs="Arial" w:eastAsia="Arial" w:hAnsi="Arial"/>
          <w:sz w:val="22"/>
          <w:szCs w:val="22"/>
        </w:rPr>
        <w:t xml:space="preserve">In a childless divorce, courts balance both spouses' needs, contributions, and resources relatively evenly. When children are involved, the welfare of those children becomes the first consideration — and everything else is assessed in that context.</w:t>
      </w:r>
    </w:p>
    <w:p>
      <w:pPr>
        <w:spacing w:before="80" w:after="80"/>
      </w:pPr>
      <w:r>
        <w:rPr>
          <w:rFonts w:ascii="Arial" w:cs="Arial" w:eastAsia="Arial" w:hAnsi="Arial"/>
          <w:sz w:val="22"/>
          <w:szCs w:val="22"/>
        </w:rPr>
        <w:t xml:space="preserve">This means courts are primarily asking: where will the children live, who cares for them, and what does that parent need to make this work? The answers to these questions drive the settlement more than income comparisons or contribution arguments.</w:t>
      </w:r>
    </w:p>
    <w:p>
      <w:pPr>
        <w:pStyle w:val="Heading2"/>
        <w:spacing w:before="300" w:after="140"/>
      </w:pPr>
      <w:r>
        <w:rPr>
          <w:rFonts w:ascii="Arial" w:cs="Arial" w:eastAsia="Arial" w:hAnsi="Arial"/>
          <w:b/>
          <w:bCs/>
          <w:color w:val="2563a8"/>
          <w:sz w:val="28"/>
          <w:szCs w:val="28"/>
        </w:rPr>
        <w:t xml:space="preserve">The Family Home: Children Create Inertia Against Sale</w:t>
      </w:r>
    </w:p>
    <w:p>
      <w:pPr>
        <w:spacing w:before="80" w:after="80"/>
      </w:pPr>
      <w:r>
        <w:rPr>
          <w:rFonts w:ascii="Arial" w:cs="Arial" w:eastAsia="Arial" w:hAnsi="Arial"/>
          <w:sz w:val="22"/>
          <w:szCs w:val="22"/>
        </w:rPr>
        <w:t xml:space="preserve">Without children, selling the family home and splitting the proceeds is the cleanest and most common outcome. With children, courts are much more reluctant to order an immediate sale — particularly if children are in school and established in a community. Instead:</w:t>
      </w:r>
    </w:p>
    <w:p>
      <w:pPr>
        <w:pStyle w:val="ListParagraph"/>
        <w:numPr>
          <w:ilvl w:val="0"/>
          <w:numId w:val="2"/>
        </w:numPr>
        <w:spacing w:before="60" w:after="60"/>
      </w:pPr>
      <w:r>
        <w:rPr>
          <w:rFonts w:ascii="Arial" w:cs="Arial" w:eastAsia="Arial" w:hAnsi="Arial"/>
          <w:sz w:val="22"/>
          <w:szCs w:val="22"/>
        </w:rPr>
        <w:t xml:space="preserve">Mesher Orders defer sale until the youngest child reaches 18 or finishes education</w:t>
      </w:r>
    </w:p>
    <w:p>
      <w:pPr>
        <w:pStyle w:val="ListParagraph"/>
        <w:numPr>
          <w:ilvl w:val="0"/>
          <w:numId w:val="2"/>
        </w:numPr>
        <w:spacing w:before="60" w:after="60"/>
      </w:pPr>
      <w:r>
        <w:rPr>
          <w:rFonts w:ascii="Arial" w:cs="Arial" w:eastAsia="Arial" w:hAnsi="Arial"/>
          <w:sz w:val="22"/>
          <w:szCs w:val="22"/>
        </w:rPr>
        <w:t xml:space="preserve">The primary carer may receive a larger equity share to enable rehousing without disrupting the children</w:t>
      </w:r>
    </w:p>
    <w:p>
      <w:pPr>
        <w:pStyle w:val="ListParagraph"/>
        <w:numPr>
          <w:ilvl w:val="0"/>
          <w:numId w:val="2"/>
        </w:numPr>
        <w:spacing w:before="60" w:after="60"/>
      </w:pPr>
      <w:r>
        <w:rPr>
          <w:rFonts w:ascii="Arial" w:cs="Arial" w:eastAsia="Arial" w:hAnsi="Arial"/>
          <w:sz w:val="22"/>
          <w:szCs w:val="22"/>
        </w:rPr>
        <w:t xml:space="preserve">Courts may order the non-resident parent to fund housing for the primary carer and children as part of the settlement</w:t>
      </w:r>
    </w:p>
    <w:p>
      <w:pPr>
        <w:pStyle w:val="Heading2"/>
        <w:spacing w:before="300" w:after="140"/>
      </w:pPr>
      <w:r>
        <w:rPr>
          <w:rFonts w:ascii="Arial" w:cs="Arial" w:eastAsia="Arial" w:hAnsi="Arial"/>
          <w:b/>
          <w:bCs/>
          <w:color w:val="2563a8"/>
          <w:sz w:val="28"/>
          <w:szCs w:val="28"/>
        </w:rPr>
        <w:t xml:space="preserve">Children Create Longer-Duration Financial Ties</w:t>
      </w:r>
    </w:p>
    <w:p>
      <w:pPr>
        <w:spacing w:before="80" w:after="80"/>
      </w:pPr>
      <w:r>
        <w:rPr>
          <w:rFonts w:ascii="Arial" w:cs="Arial" w:eastAsia="Arial" w:hAnsi="Arial"/>
          <w:sz w:val="22"/>
          <w:szCs w:val="22"/>
        </w:rPr>
        <w:t xml:space="preserve">A childless divorce can often achieve a clean break immediately — both parties go their separate ways with no ongoing financial links. With children, financial ties typically continue for many years:</w:t>
      </w:r>
    </w:p>
    <w:p>
      <w:pPr>
        <w:pStyle w:val="ListParagraph"/>
        <w:numPr>
          <w:ilvl w:val="0"/>
          <w:numId w:val="2"/>
        </w:numPr>
        <w:spacing w:before="60" w:after="60"/>
      </w:pPr>
      <w:r>
        <w:rPr>
          <w:rFonts w:ascii="Arial" w:cs="Arial" w:eastAsia="Arial" w:hAnsi="Arial"/>
          <w:sz w:val="22"/>
          <w:szCs w:val="22"/>
        </w:rPr>
        <w:t xml:space="preserve">Child maintenance continues until each child turns 16 (or 20 if in full-time non-advanced education)</w:t>
      </w:r>
    </w:p>
    <w:p>
      <w:pPr>
        <w:pStyle w:val="ListParagraph"/>
        <w:numPr>
          <w:ilvl w:val="0"/>
          <w:numId w:val="2"/>
        </w:numPr>
        <w:spacing w:before="60" w:after="60"/>
      </w:pPr>
      <w:r>
        <w:rPr>
          <w:rFonts w:ascii="Arial" w:cs="Arial" w:eastAsia="Arial" w:hAnsi="Arial"/>
          <w:sz w:val="22"/>
          <w:szCs w:val="22"/>
        </w:rPr>
        <w:t xml:space="preserve">Spousal maintenance may run for several years to support the primary carer</w:t>
      </w:r>
    </w:p>
    <w:p>
      <w:pPr>
        <w:pStyle w:val="ListParagraph"/>
        <w:numPr>
          <w:ilvl w:val="0"/>
          <w:numId w:val="2"/>
        </w:numPr>
        <w:spacing w:before="60" w:after="60"/>
      </w:pPr>
      <w:r>
        <w:rPr>
          <w:rFonts w:ascii="Arial" w:cs="Arial" w:eastAsia="Arial" w:hAnsi="Arial"/>
          <w:sz w:val="22"/>
          <w:szCs w:val="22"/>
        </w:rPr>
        <w:t xml:space="preserve">The property settlement may not be fully resolved until children reach adulthood under a Mesher Order</w:t>
      </w:r>
    </w:p>
    <w:p>
      <w:pPr>
        <w:pStyle w:val="Heading2"/>
        <w:spacing w:before="300" w:after="140"/>
      </w:pPr>
      <w:r>
        <w:rPr>
          <w:rFonts w:ascii="Arial" w:cs="Arial" w:eastAsia="Arial" w:hAnsi="Arial"/>
          <w:b/>
          <w:bCs/>
          <w:color w:val="2563a8"/>
          <w:sz w:val="28"/>
          <w:szCs w:val="28"/>
        </w:rPr>
        <w:t xml:space="preserve">Children Affect the Pension Settlement</w:t>
      </w:r>
    </w:p>
    <w:p>
      <w:pPr>
        <w:spacing w:before="80" w:after="80"/>
      </w:pPr>
      <w:r>
        <w:rPr>
          <w:rFonts w:ascii="Arial" w:cs="Arial" w:eastAsia="Arial" w:hAnsi="Arial"/>
          <w:sz w:val="22"/>
          <w:szCs w:val="22"/>
        </w:rPr>
        <w:t xml:space="preserve">Child-focused settlements often involve the primary carer keeping the family home in exchange for the non-resident parent keeping their pension. This 'offset' arrangement is common and often fair in the short term — but can leave the primary carer significantly under-provided for in retirement. Courts and lawyers increasingly encourage pension sharing rather than pure offsetting in child-present settlements, to avoid long-term financial hardship for the primary carer.</w:t>
      </w:r>
    </w:p>
    <w:p>
      <w:pPr>
        <w:pStyle w:val="Heading2"/>
        <w:spacing w:before="300" w:after="140"/>
      </w:pPr>
      <w:r>
        <w:rPr>
          <w:rFonts w:ascii="Arial" w:cs="Arial" w:eastAsia="Arial" w:hAnsi="Arial"/>
          <w:b/>
          <w:bCs/>
          <w:color w:val="2563a8"/>
          <w:sz w:val="28"/>
          <w:szCs w:val="28"/>
        </w:rPr>
        <w:t xml:space="preserve">Income and Earning Capacity: Children Widen the Gap</w:t>
      </w:r>
    </w:p>
    <w:p>
      <w:pPr>
        <w:spacing w:before="80" w:after="80"/>
      </w:pPr>
      <w:r>
        <w:rPr>
          <w:rFonts w:ascii="Arial" w:cs="Arial" w:eastAsia="Arial" w:hAnsi="Arial"/>
          <w:sz w:val="22"/>
          <w:szCs w:val="22"/>
        </w:rPr>
        <w:t xml:space="preserve">Where one parent has reduced their working hours or career progression to care for children, this is directly relevant to the financial settlement. Courts treat this as a contribution to the marriage, not a personal choice that weakens the primary carer's claim. The primary carer's lower earning capacity — caused by the children's needs — strengthens their argument for both a larger asset share and spousal maintenance.</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Children's welfare is the first consideration — it reshapes the entire settlement priority</w:t>
      </w:r>
    </w:p>
    <w:p>
      <w:pPr>
        <w:pStyle w:val="ListParagraph"/>
        <w:numPr>
          <w:ilvl w:val="0"/>
          <w:numId w:val="2"/>
        </w:numPr>
        <w:spacing w:before="60" w:after="60"/>
      </w:pPr>
      <w:r>
        <w:rPr>
          <w:rFonts w:ascii="Arial" w:cs="Arial" w:eastAsia="Arial" w:hAnsi="Arial"/>
          <w:sz w:val="22"/>
          <w:szCs w:val="22"/>
        </w:rPr>
        <w:t xml:space="preserve">Immediate sale of the family home is much less likely where children are present</w:t>
      </w:r>
    </w:p>
    <w:p>
      <w:pPr>
        <w:pStyle w:val="ListParagraph"/>
        <w:numPr>
          <w:ilvl w:val="0"/>
          <w:numId w:val="2"/>
        </w:numPr>
        <w:spacing w:before="60" w:after="60"/>
      </w:pPr>
      <w:r>
        <w:rPr>
          <w:rFonts w:ascii="Arial" w:cs="Arial" w:eastAsia="Arial" w:hAnsi="Arial"/>
          <w:sz w:val="22"/>
          <w:szCs w:val="22"/>
        </w:rPr>
        <w:t xml:space="preserve">Financial ties last significantly longer in divorces with children</w:t>
      </w:r>
    </w:p>
    <w:p>
      <w:pPr>
        <w:pStyle w:val="ListParagraph"/>
        <w:numPr>
          <w:ilvl w:val="0"/>
          <w:numId w:val="2"/>
        </w:numPr>
        <w:spacing w:before="60" w:after="60"/>
      </w:pPr>
      <w:r>
        <w:rPr>
          <w:rFonts w:ascii="Arial" w:cs="Arial" w:eastAsia="Arial" w:hAnsi="Arial"/>
          <w:sz w:val="22"/>
          <w:szCs w:val="22"/>
        </w:rPr>
        <w:t xml:space="preserve">Reduced earning capacity from childcare is treated as a marital contribution, not a weakness</w:t>
      </w:r>
    </w:p>
    <w:p>
      <w:pPr>
        <w:pStyle w:val="ListParagraph"/>
        <w:numPr>
          <w:ilvl w:val="0"/>
          <w:numId w:val="2"/>
        </w:numPr>
        <w:spacing w:before="60" w:after="60"/>
      </w:pPr>
      <w:r>
        <w:rPr>
          <w:rFonts w:ascii="Arial" w:cs="Arial" w:eastAsia="Arial" w:hAnsi="Arial"/>
          <w:sz w:val="22"/>
          <w:szCs w:val="22"/>
        </w:rPr>
        <w:t xml:space="preserve">Pension trade-offs in child-focused settlements must be modelled carefully for long-term fairness</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I get a clean break with children?</w:t>
      </w:r>
    </w:p>
    <w:p>
      <w:pPr>
        <w:spacing w:before="80" w:after="80"/>
      </w:pPr>
      <w:r>
        <w:rPr>
          <w:rFonts w:ascii="Arial" w:cs="Arial" w:eastAsia="Arial" w:hAnsi="Arial"/>
          <w:sz w:val="22"/>
          <w:szCs w:val="22"/>
        </w:rPr>
        <w:t xml:space="preserve">A clean break on capital claims is possible even with children. A clean break on child maintenance is not possible — child maintenance through CMS always remains variable. A clean break on spousal maintenance may be achieved immediately or after a fixed term.</w:t>
      </w:r>
    </w:p>
    <w:p>
      <w:pPr>
        <w:spacing w:before="220" w:after="100"/>
      </w:pPr>
      <w:r>
        <w:rPr>
          <w:rFonts w:ascii="Arial" w:cs="Arial" w:eastAsia="Arial" w:hAnsi="Arial"/>
          <w:b/>
          <w:bCs/>
          <w:color w:val="1a3c5e"/>
          <w:sz w:val="24"/>
          <w:szCs w:val="24"/>
        </w:rPr>
        <w:t xml:space="preserve">What age do the children need to be for a Mesher Order to apply?</w:t>
      </w:r>
    </w:p>
    <w:p>
      <w:pPr>
        <w:spacing w:before="80" w:after="80"/>
      </w:pPr>
      <w:r>
        <w:rPr>
          <w:rFonts w:ascii="Arial" w:cs="Arial" w:eastAsia="Arial" w:hAnsi="Arial"/>
          <w:sz w:val="22"/>
          <w:szCs w:val="22"/>
        </w:rPr>
        <w:t xml:space="preserve">There is no minimum age — Mesher Orders apply where children are living in the property and their welfare requires stability of housing. Typically, the order runs until the youngest child turns 18 or finishes full-time education.</w:t>
      </w:r>
    </w:p>
    <w:p>
      <w:pPr>
        <w:spacing w:before="220" w:after="100"/>
      </w:pPr>
      <w:r>
        <w:rPr>
          <w:rFonts w:ascii="Arial" w:cs="Arial" w:eastAsia="Arial" w:hAnsi="Arial"/>
          <w:b/>
          <w:bCs/>
          <w:color w:val="1a3c5e"/>
          <w:sz w:val="24"/>
          <w:szCs w:val="24"/>
        </w:rPr>
        <w:t xml:space="preserve">Does it matter if we have one child or several?</w:t>
      </w:r>
    </w:p>
    <w:p>
      <w:pPr>
        <w:spacing w:before="80" w:after="80"/>
      </w:pPr>
      <w:r>
        <w:rPr>
          <w:rFonts w:ascii="Arial" w:cs="Arial" w:eastAsia="Arial" w:hAnsi="Arial"/>
          <w:sz w:val="22"/>
          <w:szCs w:val="22"/>
        </w:rPr>
        <w:t xml:space="preserve">Yes — both to maintenance (CMS rates increase with more children) and to housing needs (more children require more space). However, the fundamental principles are the same regardless of the number of children.</w:t>
      </w:r>
    </w:p>
    <w:p>
      <w:pPr>
        <w:spacing w:before="220" w:after="100"/>
      </w:pPr>
      <w:r>
        <w:rPr>
          <w:rFonts w:ascii="Arial" w:cs="Arial" w:eastAsia="Arial" w:hAnsi="Arial"/>
          <w:b/>
          <w:bCs/>
          <w:color w:val="1a3c5e"/>
          <w:sz w:val="24"/>
          <w:szCs w:val="24"/>
        </w:rPr>
        <w:t xml:space="preserve">What if the non-resident parent also needs housing for the children?</w:t>
      </w:r>
    </w:p>
    <w:p>
      <w:pPr>
        <w:spacing w:before="80" w:after="80"/>
      </w:pPr>
      <w:r>
        <w:rPr>
          <w:rFonts w:ascii="Arial" w:cs="Arial" w:eastAsia="Arial" w:hAnsi="Arial"/>
          <w:sz w:val="22"/>
          <w:szCs w:val="22"/>
        </w:rPr>
        <w:t xml:space="preserve">Both parents' housing needs are relevant, especially in shared care arrangements. Courts consider whether both parents have suitable space to accommodate the children, which can increase the overall housing need for the settlement.</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Can I Hide Assets in Divorce UK? The Law, the Risks, and What Courts Can Do</w:t>
      </w:r>
    </w:p>
    <w:p>
      <w:pPr>
        <w:spacing w:before="80" w:after="80"/>
      </w:pPr>
      <w:r>
        <w:rPr>
          <w:rFonts w:ascii="Arial" w:cs="Arial" w:eastAsia="Arial" w:hAnsi="Arial"/>
          <w:sz w:val="22"/>
          <w:szCs w:val="22"/>
        </w:rPr>
        <w:t xml:space="preserve">Can I hide assets in divorce UK? No — and attempting to do so carries serious legal and practical consequences. In England and Wales, both parties in divorce financial proceedings are under a legal duty of full and frank financial disclosure. This duty is not a formality — courts, lawyers, and forensic experts have extensive tools to detect concealment. The consequences of hiding assets range from adverse costs orders and adverse inferences against you, to committal for contempt of court and the setting aside of any settlement obtained on false information.</w:t>
      </w:r>
    </w:p>
    <w:p>
      <w:pPr>
        <w:pStyle w:val="Heading2"/>
        <w:spacing w:before="300" w:after="140"/>
      </w:pPr>
      <w:r>
        <w:rPr>
          <w:rFonts w:ascii="Arial" w:cs="Arial" w:eastAsia="Arial" w:hAnsi="Arial"/>
          <w:b/>
          <w:bCs/>
          <w:color w:val="2563a8"/>
          <w:sz w:val="28"/>
          <w:szCs w:val="28"/>
        </w:rPr>
        <w:t xml:space="preserve">The Legal Duty of Full and Frank Disclosure</w:t>
      </w:r>
    </w:p>
    <w:p>
      <w:pPr>
        <w:spacing w:before="80" w:after="80"/>
      </w:pPr>
      <w:r>
        <w:rPr>
          <w:rFonts w:ascii="Arial" w:cs="Arial" w:eastAsia="Arial" w:hAnsi="Arial"/>
          <w:sz w:val="22"/>
          <w:szCs w:val="22"/>
        </w:rPr>
        <w:t xml:space="preserve">Every person involved in financial remedy proceedings in England and Wales has a positive, ongoing duty to disclose all financial information that is material to the settlement. This is not simply about answering the questions on Form E — it is about proactively disclosing anything relevant, even if not specifically asked.</w:t>
      </w:r>
    </w:p>
    <w:p>
      <w:pPr>
        <w:spacing w:before="80" w:after="80"/>
      </w:pPr>
      <w:r>
        <w:rPr>
          <w:rFonts w:ascii="Arial" w:cs="Arial" w:eastAsia="Arial" w:hAnsi="Arial"/>
          <w:sz w:val="22"/>
          <w:szCs w:val="22"/>
        </w:rPr>
        <w:t xml:space="preserve">The duty continues throughout the proceedings. If your financial circumstances change — you receive a bonus, inherit money, or an investment vests — you must update your disclosure.</w:t>
      </w:r>
    </w:p>
    <w:p>
      <w:pPr>
        <w:pStyle w:val="Heading2"/>
        <w:spacing w:before="300" w:after="140"/>
      </w:pPr>
      <w:r>
        <w:rPr>
          <w:rFonts w:ascii="Arial" w:cs="Arial" w:eastAsia="Arial" w:hAnsi="Arial"/>
          <w:b/>
          <w:bCs/>
          <w:color w:val="2563a8"/>
          <w:sz w:val="28"/>
          <w:szCs w:val="28"/>
        </w:rPr>
        <w:t xml:space="preserve">Common Ways People Attempt to Hide Assets</w:t>
      </w:r>
    </w:p>
    <w:p>
      <w:pPr>
        <w:pStyle w:val="ListParagraph"/>
        <w:numPr>
          <w:ilvl w:val="0"/>
          <w:numId w:val="2"/>
        </w:numPr>
        <w:spacing w:before="60" w:after="60"/>
      </w:pPr>
      <w:r>
        <w:rPr>
          <w:rFonts w:ascii="Arial" w:cs="Arial" w:eastAsia="Arial" w:hAnsi="Arial"/>
          <w:sz w:val="22"/>
          <w:szCs w:val="22"/>
        </w:rPr>
        <w:t xml:space="preserve">Transferring cash or property to family members or friends before proceedings begin</w:t>
      </w:r>
    </w:p>
    <w:p>
      <w:pPr>
        <w:pStyle w:val="ListParagraph"/>
        <w:numPr>
          <w:ilvl w:val="0"/>
          <w:numId w:val="2"/>
        </w:numPr>
        <w:spacing w:before="60" w:after="60"/>
      </w:pPr>
      <w:r>
        <w:rPr>
          <w:rFonts w:ascii="Arial" w:cs="Arial" w:eastAsia="Arial" w:hAnsi="Arial"/>
          <w:sz w:val="22"/>
          <w:szCs w:val="22"/>
        </w:rPr>
        <w:t xml:space="preserve">Understating the value of a business or investment property</w:t>
      </w:r>
    </w:p>
    <w:p>
      <w:pPr>
        <w:pStyle w:val="ListParagraph"/>
        <w:numPr>
          <w:ilvl w:val="0"/>
          <w:numId w:val="2"/>
        </w:numPr>
        <w:spacing w:before="60" w:after="60"/>
      </w:pPr>
      <w:r>
        <w:rPr>
          <w:rFonts w:ascii="Arial" w:cs="Arial" w:eastAsia="Arial" w:hAnsi="Arial"/>
          <w:sz w:val="22"/>
          <w:szCs w:val="22"/>
        </w:rPr>
        <w:t xml:space="preserve">Failing to disclose savings accounts, offshore accounts, or cryptocurrency holdings</w:t>
      </w:r>
    </w:p>
    <w:p>
      <w:pPr>
        <w:pStyle w:val="ListParagraph"/>
        <w:numPr>
          <w:ilvl w:val="0"/>
          <w:numId w:val="2"/>
        </w:numPr>
        <w:spacing w:before="60" w:after="60"/>
      </w:pPr>
      <w:r>
        <w:rPr>
          <w:rFonts w:ascii="Arial" w:cs="Arial" w:eastAsia="Arial" w:hAnsi="Arial"/>
          <w:sz w:val="22"/>
          <w:szCs w:val="22"/>
        </w:rPr>
        <w:t xml:space="preserve">Creating fictional debts to reduce apparent net worth</w:t>
      </w:r>
    </w:p>
    <w:p>
      <w:pPr>
        <w:pStyle w:val="ListParagraph"/>
        <w:numPr>
          <w:ilvl w:val="0"/>
          <w:numId w:val="2"/>
        </w:numPr>
        <w:spacing w:before="60" w:after="60"/>
      </w:pPr>
      <w:r>
        <w:rPr>
          <w:rFonts w:ascii="Arial" w:cs="Arial" w:eastAsia="Arial" w:hAnsi="Arial"/>
          <w:sz w:val="22"/>
          <w:szCs w:val="22"/>
        </w:rPr>
        <w:t xml:space="preserve">Artificially reducing business profits by deferring invoices or accelerating expenses</w:t>
      </w:r>
    </w:p>
    <w:p>
      <w:pPr>
        <w:pStyle w:val="ListParagraph"/>
        <w:numPr>
          <w:ilvl w:val="0"/>
          <w:numId w:val="2"/>
        </w:numPr>
        <w:spacing w:before="60" w:after="60"/>
      </w:pPr>
      <w:r>
        <w:rPr>
          <w:rFonts w:ascii="Arial" w:cs="Arial" w:eastAsia="Arial" w:hAnsi="Arial"/>
          <w:sz w:val="22"/>
          <w:szCs w:val="22"/>
        </w:rPr>
        <w:t xml:space="preserve">Deferring salary or bonus payments until after settlement</w:t>
      </w:r>
    </w:p>
    <w:p>
      <w:pPr>
        <w:pStyle w:val="ListParagraph"/>
        <w:numPr>
          <w:ilvl w:val="0"/>
          <w:numId w:val="2"/>
        </w:numPr>
        <w:spacing w:before="60" w:after="60"/>
      </w:pPr>
      <w:r>
        <w:rPr>
          <w:rFonts w:ascii="Arial" w:cs="Arial" w:eastAsia="Arial" w:hAnsi="Arial"/>
          <w:sz w:val="22"/>
          <w:szCs w:val="22"/>
        </w:rPr>
        <w:t xml:space="preserve">Claiming assets belong to a third party (parent, sibling, business partner)</w:t>
      </w:r>
    </w:p>
    <w:p>
      <w:pPr>
        <w:pStyle w:val="Heading2"/>
        <w:spacing w:before="300" w:after="140"/>
      </w:pPr>
      <w:r>
        <w:rPr>
          <w:rFonts w:ascii="Arial" w:cs="Arial" w:eastAsia="Arial" w:hAnsi="Arial"/>
          <w:b/>
          <w:bCs/>
          <w:color w:val="2563a8"/>
          <w:sz w:val="28"/>
          <w:szCs w:val="28"/>
        </w:rPr>
        <w:t xml:space="preserve">How Courts Detect Hidden Assets</w:t>
      </w:r>
    </w:p>
    <w:p>
      <w:pPr>
        <w:spacing w:before="80" w:after="80"/>
      </w:pPr>
      <w:r>
        <w:rPr>
          <w:rFonts w:ascii="Arial" w:cs="Arial" w:eastAsia="Arial" w:hAnsi="Arial"/>
          <w:sz w:val="22"/>
          <w:szCs w:val="22"/>
        </w:rPr>
        <w:t xml:space="preserve">Courts have substantial powers to investigate financial circumstances:</w:t>
      </w:r>
    </w:p>
    <w:p>
      <w:pPr>
        <w:pStyle w:val="ListParagraph"/>
        <w:numPr>
          <w:ilvl w:val="0"/>
          <w:numId w:val="2"/>
        </w:numPr>
        <w:spacing w:before="60" w:after="60"/>
      </w:pPr>
      <w:r>
        <w:rPr>
          <w:rFonts w:ascii="Arial" w:cs="Arial" w:eastAsia="Arial" w:hAnsi="Arial"/>
          <w:sz w:val="22"/>
          <w:szCs w:val="22"/>
        </w:rPr>
        <w:t xml:space="preserve">Disclosure questionnaires — requiring specific documentation for every account, investment, and liability</w:t>
      </w:r>
    </w:p>
    <w:p>
      <w:pPr>
        <w:pStyle w:val="ListParagraph"/>
        <w:numPr>
          <w:ilvl w:val="0"/>
          <w:numId w:val="2"/>
        </w:numPr>
        <w:spacing w:before="60" w:after="60"/>
      </w:pPr>
      <w:r>
        <w:rPr>
          <w:rFonts w:ascii="Arial" w:cs="Arial" w:eastAsia="Arial" w:hAnsi="Arial"/>
          <w:sz w:val="22"/>
          <w:szCs w:val="22"/>
        </w:rPr>
        <w:t xml:space="preserve">Third-party disclosure orders — requiring banks, HMRC, and companies to produce records directly</w:t>
      </w:r>
    </w:p>
    <w:p>
      <w:pPr>
        <w:pStyle w:val="ListParagraph"/>
        <w:numPr>
          <w:ilvl w:val="0"/>
          <w:numId w:val="2"/>
        </w:numPr>
        <w:spacing w:before="60" w:after="60"/>
      </w:pPr>
      <w:r>
        <w:rPr>
          <w:rFonts w:ascii="Arial" w:cs="Arial" w:eastAsia="Arial" w:hAnsi="Arial"/>
          <w:sz w:val="22"/>
          <w:szCs w:val="22"/>
        </w:rPr>
        <w:t xml:space="preserve">Search orders (Anton Piller orders) — allowing premises to be searched in extreme cases</w:t>
      </w:r>
    </w:p>
    <w:p>
      <w:pPr>
        <w:pStyle w:val="ListParagraph"/>
        <w:numPr>
          <w:ilvl w:val="0"/>
          <w:numId w:val="2"/>
        </w:numPr>
        <w:spacing w:before="60" w:after="60"/>
      </w:pPr>
      <w:r>
        <w:rPr>
          <w:rFonts w:ascii="Arial" w:cs="Arial" w:eastAsia="Arial" w:hAnsi="Arial"/>
          <w:sz w:val="22"/>
          <w:szCs w:val="22"/>
        </w:rPr>
        <w:t xml:space="preserve">Forensic accountants — appointed to investigate business accounts and financial structures</w:t>
      </w:r>
    </w:p>
    <w:p>
      <w:pPr>
        <w:pStyle w:val="ListParagraph"/>
        <w:numPr>
          <w:ilvl w:val="0"/>
          <w:numId w:val="2"/>
        </w:numPr>
        <w:spacing w:before="60" w:after="60"/>
      </w:pPr>
      <w:r>
        <w:rPr>
          <w:rFonts w:ascii="Arial" w:cs="Arial" w:eastAsia="Arial" w:hAnsi="Arial"/>
          <w:sz w:val="22"/>
          <w:szCs w:val="22"/>
        </w:rPr>
        <w:t xml:space="preserve">Adverse inferences — if a party refuses to comply with disclosure, courts can assume they are hiding assets and increase the award accordingly</w:t>
      </w:r>
    </w:p>
    <w:p>
      <w:pPr>
        <w:pStyle w:val="Heading2"/>
        <w:spacing w:before="300" w:after="140"/>
      </w:pPr>
      <w:r>
        <w:rPr>
          <w:rFonts w:ascii="Arial" w:cs="Arial" w:eastAsia="Arial" w:hAnsi="Arial"/>
          <w:b/>
          <w:bCs/>
          <w:color w:val="2563a8"/>
          <w:sz w:val="28"/>
          <w:szCs w:val="28"/>
        </w:rPr>
        <w:t xml:space="preserve">Transactions Designed to Defeat Claims: Section 37</w:t>
      </w:r>
    </w:p>
    <w:p>
      <w:pPr>
        <w:spacing w:before="80" w:after="80"/>
      </w:pPr>
      <w:r>
        <w:rPr>
          <w:rFonts w:ascii="Arial" w:cs="Arial" w:eastAsia="Arial" w:hAnsi="Arial"/>
          <w:sz w:val="22"/>
          <w:szCs w:val="22"/>
        </w:rPr>
        <w:t xml:space="preserve">If you transfer assets to a third party to put them beyond the reach of the settlement, a court can set aside that transaction under Section 37 of the Matrimonial Causes Act 1973. Courts can unwind transfers made to parents, siblings, friends, or businesses if they were clearly designed to reduce what your spouse would receive. The third party may also face legal consequences.</w:t>
      </w:r>
    </w:p>
    <w:p>
      <w:pPr>
        <w:pStyle w:val="Heading2"/>
        <w:spacing w:before="300" w:after="140"/>
      </w:pPr>
      <w:r>
        <w:rPr>
          <w:rFonts w:ascii="Arial" w:cs="Arial" w:eastAsia="Arial" w:hAnsi="Arial"/>
          <w:b/>
          <w:bCs/>
          <w:color w:val="2563a8"/>
          <w:sz w:val="28"/>
          <w:szCs w:val="28"/>
        </w:rPr>
        <w:t xml:space="preserve">Criminal Consequences</w:t>
      </w:r>
    </w:p>
    <w:p>
      <w:pPr>
        <w:spacing w:before="80" w:after="80"/>
      </w:pPr>
      <w:r>
        <w:rPr>
          <w:rFonts w:ascii="Arial" w:cs="Arial" w:eastAsia="Arial" w:hAnsi="Arial"/>
          <w:sz w:val="22"/>
          <w:szCs w:val="22"/>
        </w:rPr>
        <w:t xml:space="preserve">Providing false information in financial proceedings can constitute perjury or perverting the course of justice — criminal offences. While criminal prosecutions are rare, they are not unheard of in cases of deliberate and systematic asset concealment. The more sophisticated and deliberate the concealment, the greater the risk.</w:t>
      </w:r>
    </w:p>
    <w:p>
      <w:pPr>
        <w:pStyle w:val="Heading2"/>
        <w:spacing w:before="300" w:after="140"/>
      </w:pPr>
      <w:r>
        <w:rPr>
          <w:rFonts w:ascii="Arial" w:cs="Arial" w:eastAsia="Arial" w:hAnsi="Arial"/>
          <w:b/>
          <w:bCs/>
          <w:color w:val="2563a8"/>
          <w:sz w:val="28"/>
          <w:szCs w:val="28"/>
        </w:rPr>
        <w:t xml:space="preserve">What Happens if Concealment is Discovered After Settlement</w:t>
      </w:r>
    </w:p>
    <w:p>
      <w:pPr>
        <w:spacing w:before="80" w:after="80"/>
      </w:pPr>
      <w:r>
        <w:rPr>
          <w:rFonts w:ascii="Arial" w:cs="Arial" w:eastAsia="Arial" w:hAnsi="Arial"/>
          <w:sz w:val="22"/>
          <w:szCs w:val="22"/>
        </w:rPr>
        <w:t xml:space="preserve">If hidden assets are discovered after a consent order is made, the affected party can apply to set it aside. Courts will set aside an order obtained by fraud or material non-disclosure. There is no absolute time limit — though courts are increasingly reluctant to reopen old cases and delay in applying will weigh against you.</w:t>
      </w:r>
    </w:p>
    <w:p>
      <w:pPr>
        <w:pStyle w:val="Heading2"/>
        <w:spacing w:before="300" w:after="140"/>
      </w:pPr>
      <w:r>
        <w:rPr>
          <w:rFonts w:ascii="Arial" w:cs="Arial" w:eastAsia="Arial" w:hAnsi="Arial"/>
          <w:b/>
          <w:bCs/>
          <w:color w:val="2563a8"/>
          <w:sz w:val="28"/>
          <w:szCs w:val="28"/>
        </w:rPr>
        <w:t xml:space="preserve">If You Suspect Your Spouse is Hiding Assets</w:t>
      </w:r>
    </w:p>
    <w:p>
      <w:pPr>
        <w:pStyle w:val="ListParagraph"/>
        <w:numPr>
          <w:ilvl w:val="0"/>
          <w:numId w:val="2"/>
        </w:numPr>
        <w:spacing w:before="60" w:after="60"/>
      </w:pPr>
      <w:r>
        <w:rPr>
          <w:rFonts w:ascii="Arial" w:cs="Arial" w:eastAsia="Arial" w:hAnsi="Arial"/>
          <w:sz w:val="22"/>
          <w:szCs w:val="22"/>
        </w:rPr>
        <w:t xml:space="preserve">Be specific in your disclosure questionnaire requests — ask for every account, every statement, every document</w:t>
      </w:r>
    </w:p>
    <w:p>
      <w:pPr>
        <w:pStyle w:val="ListParagraph"/>
        <w:numPr>
          <w:ilvl w:val="0"/>
          <w:numId w:val="2"/>
        </w:numPr>
        <w:spacing w:before="60" w:after="60"/>
      </w:pPr>
      <w:r>
        <w:rPr>
          <w:rFonts w:ascii="Arial" w:cs="Arial" w:eastAsia="Arial" w:hAnsi="Arial"/>
          <w:sz w:val="22"/>
          <w:szCs w:val="22"/>
        </w:rPr>
        <w:t xml:space="preserve">Request HMRC records (tax returns, SA302 forms) — these are difficult to manipulate</w:t>
      </w:r>
    </w:p>
    <w:p>
      <w:pPr>
        <w:pStyle w:val="ListParagraph"/>
        <w:numPr>
          <w:ilvl w:val="0"/>
          <w:numId w:val="2"/>
        </w:numPr>
        <w:spacing w:before="60" w:after="60"/>
      </w:pPr>
      <w:r>
        <w:rPr>
          <w:rFonts w:ascii="Arial" w:cs="Arial" w:eastAsia="Arial" w:hAnsi="Arial"/>
          <w:sz w:val="22"/>
          <w:szCs w:val="22"/>
        </w:rPr>
        <w:t xml:space="preserve">Instruct a forensic accountant if business assets or self-employment are involved</w:t>
      </w:r>
    </w:p>
    <w:p>
      <w:pPr>
        <w:pStyle w:val="ListParagraph"/>
        <w:numPr>
          <w:ilvl w:val="0"/>
          <w:numId w:val="2"/>
        </w:numPr>
        <w:spacing w:before="60" w:after="60"/>
      </w:pPr>
      <w:r>
        <w:rPr>
          <w:rFonts w:ascii="Arial" w:cs="Arial" w:eastAsia="Arial" w:hAnsi="Arial"/>
          <w:sz w:val="22"/>
          <w:szCs w:val="22"/>
        </w:rPr>
        <w:t xml:space="preserve">Apply for third-party disclosure orders through the court if necessary</w:t>
      </w:r>
    </w:p>
    <w:p>
      <w:pPr>
        <w:pStyle w:val="ListParagraph"/>
        <w:numPr>
          <w:ilvl w:val="0"/>
          <w:numId w:val="2"/>
        </w:numPr>
        <w:spacing w:before="60" w:after="60"/>
      </w:pPr>
      <w:r>
        <w:rPr>
          <w:rFonts w:ascii="Arial" w:cs="Arial" w:eastAsia="Arial" w:hAnsi="Arial"/>
          <w:sz w:val="22"/>
          <w:szCs w:val="22"/>
        </w:rPr>
        <w:t xml:space="preserve">Keep evidence of lifestyle — expenses, holidays, purchases — that suggest undisclosed income or assets</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Hiding assets is illegal — it breaches the duty of full and frank disclosure</w:t>
      </w:r>
    </w:p>
    <w:p>
      <w:pPr>
        <w:pStyle w:val="ListParagraph"/>
        <w:numPr>
          <w:ilvl w:val="0"/>
          <w:numId w:val="2"/>
        </w:numPr>
        <w:spacing w:before="60" w:after="60"/>
      </w:pPr>
      <w:r>
        <w:rPr>
          <w:rFonts w:ascii="Arial" w:cs="Arial" w:eastAsia="Arial" w:hAnsi="Arial"/>
          <w:sz w:val="22"/>
          <w:szCs w:val="22"/>
        </w:rPr>
        <w:t xml:space="preserve">Courts have wide powers to detect concealment including third-party orders and forensic accountants</w:t>
      </w:r>
    </w:p>
    <w:p>
      <w:pPr>
        <w:pStyle w:val="ListParagraph"/>
        <w:numPr>
          <w:ilvl w:val="0"/>
          <w:numId w:val="2"/>
        </w:numPr>
        <w:spacing w:before="60" w:after="60"/>
      </w:pPr>
      <w:r>
        <w:rPr>
          <w:rFonts w:ascii="Arial" w:cs="Arial" w:eastAsia="Arial" w:hAnsi="Arial"/>
          <w:sz w:val="22"/>
          <w:szCs w:val="22"/>
        </w:rPr>
        <w:t xml:space="preserve">Section 37 allows courts to unwind asset transfers made to defeat financial claims</w:t>
      </w:r>
    </w:p>
    <w:p>
      <w:pPr>
        <w:pStyle w:val="ListParagraph"/>
        <w:numPr>
          <w:ilvl w:val="0"/>
          <w:numId w:val="2"/>
        </w:numPr>
        <w:spacing w:before="60" w:after="60"/>
      </w:pPr>
      <w:r>
        <w:rPr>
          <w:rFonts w:ascii="Arial" w:cs="Arial" w:eastAsia="Arial" w:hAnsi="Arial"/>
          <w:sz w:val="22"/>
          <w:szCs w:val="22"/>
        </w:rPr>
        <w:t xml:space="preserve">Consent orders obtained by non-disclosure can be set aside — there is no safe hiding place</w:t>
      </w:r>
    </w:p>
    <w:p>
      <w:pPr>
        <w:pStyle w:val="ListParagraph"/>
        <w:numPr>
          <w:ilvl w:val="0"/>
          <w:numId w:val="2"/>
        </w:numPr>
        <w:spacing w:before="60" w:after="60"/>
      </w:pPr>
      <w:r>
        <w:rPr>
          <w:rFonts w:ascii="Arial" w:cs="Arial" w:eastAsia="Arial" w:hAnsi="Arial"/>
          <w:sz w:val="22"/>
          <w:szCs w:val="22"/>
        </w:rPr>
        <w:t xml:space="preserve">The consequences range from adverse costs to contempt of court and criminal prosecution</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What if I moved money before we separated?</w:t>
      </w:r>
    </w:p>
    <w:p>
      <w:pPr>
        <w:spacing w:before="80" w:after="80"/>
      </w:pPr>
      <w:r>
        <w:rPr>
          <w:rFonts w:ascii="Arial" w:cs="Arial" w:eastAsia="Arial" w:hAnsi="Arial"/>
          <w:sz w:val="22"/>
          <w:szCs w:val="22"/>
        </w:rPr>
        <w:t xml:space="preserve">Courts look back at financial transactions and can treat dissipated or transferred assets as notionally still existing in the matrimonial pot. The timing of separation does not provide a safe window for hiding assets.</w:t>
      </w:r>
    </w:p>
    <w:p>
      <w:pPr>
        <w:spacing w:before="220" w:after="100"/>
      </w:pPr>
      <w:r>
        <w:rPr>
          <w:rFonts w:ascii="Arial" w:cs="Arial" w:eastAsia="Arial" w:hAnsi="Arial"/>
          <w:b/>
          <w:bCs/>
          <w:color w:val="1a3c5e"/>
          <w:sz w:val="24"/>
          <w:szCs w:val="24"/>
        </w:rPr>
        <w:t xml:space="preserve">Can cryptocurrency be hidden in divorce?</w:t>
      </w:r>
    </w:p>
    <w:p>
      <w:pPr>
        <w:spacing w:before="80" w:after="80"/>
      </w:pPr>
      <w:r>
        <w:rPr>
          <w:rFonts w:ascii="Arial" w:cs="Arial" w:eastAsia="Arial" w:hAnsi="Arial"/>
          <w:sz w:val="22"/>
          <w:szCs w:val="22"/>
        </w:rPr>
        <w:t xml:space="preserve">Courts are increasingly aware of cryptocurrency holdings. Blockchain analysis tools can trace transactions. Failure to disclose cryptocurrency is treated the same as any other non-disclosure. Courts can make orders requiring disclosure of wallet addresses and transaction histories.</w:t>
      </w:r>
    </w:p>
    <w:p>
      <w:pPr>
        <w:spacing w:before="220" w:after="100"/>
      </w:pPr>
      <w:r>
        <w:rPr>
          <w:rFonts w:ascii="Arial" w:cs="Arial" w:eastAsia="Arial" w:hAnsi="Arial"/>
          <w:b/>
          <w:bCs/>
          <w:color w:val="1a3c5e"/>
          <w:sz w:val="24"/>
          <w:szCs w:val="24"/>
        </w:rPr>
        <w:t xml:space="preserve">What if my ex moved money abroad?</w:t>
      </w:r>
    </w:p>
    <w:p>
      <w:pPr>
        <w:spacing w:before="80" w:after="80"/>
      </w:pPr>
      <w:r>
        <w:rPr>
          <w:rFonts w:ascii="Arial" w:cs="Arial" w:eastAsia="Arial" w:hAnsi="Arial"/>
          <w:sz w:val="22"/>
          <w:szCs w:val="22"/>
        </w:rPr>
        <w:t xml:space="preserve">Courts can freeze overseas assets and make orders for international disclosure. Enforcement across jurisdictions is complex but not impossible, particularly within the EU (for pre-Brexit cases) and in jurisdictions with reciprocal enforcement arrangements.</w:t>
      </w:r>
    </w:p>
    <w:p>
      <w:pPr>
        <w:spacing w:before="220" w:after="100"/>
      </w:pPr>
      <w:r>
        <w:rPr>
          <w:rFonts w:ascii="Arial" w:cs="Arial" w:eastAsia="Arial" w:hAnsi="Arial"/>
          <w:b/>
          <w:bCs/>
          <w:color w:val="1a3c5e"/>
          <w:sz w:val="24"/>
          <w:szCs w:val="24"/>
        </w:rPr>
        <w:t xml:space="preserve">Can I use a prenuptial agreement to protect assets from disclosure?</w:t>
      </w:r>
    </w:p>
    <w:p>
      <w:pPr>
        <w:spacing w:before="80" w:after="80"/>
      </w:pPr>
      <w:r>
        <w:rPr>
          <w:rFonts w:ascii="Arial" w:cs="Arial" w:eastAsia="Arial" w:hAnsi="Arial"/>
          <w:sz w:val="22"/>
          <w:szCs w:val="22"/>
        </w:rPr>
        <w:t xml:space="preserve">No — a prenuptial agreement does not remove the duty of financial disclosure. Full disclosure is required regardless of any pre-marital agreement, and the court still scrutinises the overall fairness of any settlement.</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What Happens if Spouse Refuses Financial Disclosure UK? Your Options</w:t>
      </w:r>
    </w:p>
    <w:p>
      <w:pPr>
        <w:spacing w:before="80" w:after="80"/>
      </w:pPr>
      <w:r>
        <w:rPr>
          <w:rFonts w:ascii="Arial" w:cs="Arial" w:eastAsia="Arial" w:hAnsi="Arial"/>
          <w:sz w:val="22"/>
          <w:szCs w:val="22"/>
        </w:rPr>
        <w:t xml:space="preserve">What happens if spouse refuses financial disclosure UK? Courts take non-disclosure very seriously. If your spouse refuses to provide complete financial information — whether at the informal negotiation stage or within formal court proceedings — there are several effective legal mechanisms available to compel disclosure. Non-disclosure does not simply create a stalemate; it creates legal risks and consequences for the refusing party, and courts have the power to proceed and make orders even without full cooperation.</w:t>
      </w:r>
    </w:p>
    <w:p>
      <w:pPr>
        <w:pStyle w:val="Heading2"/>
        <w:spacing w:before="300" w:after="140"/>
      </w:pPr>
      <w:r>
        <w:rPr>
          <w:rFonts w:ascii="Arial" w:cs="Arial" w:eastAsia="Arial" w:hAnsi="Arial"/>
          <w:b/>
          <w:bCs/>
          <w:color w:val="2563a8"/>
          <w:sz w:val="28"/>
          <w:szCs w:val="28"/>
        </w:rPr>
        <w:t xml:space="preserve">Why Financial Disclosure Matters</w:t>
      </w:r>
    </w:p>
    <w:p>
      <w:pPr>
        <w:spacing w:before="80" w:after="80"/>
      </w:pPr>
      <w:r>
        <w:rPr>
          <w:rFonts w:ascii="Arial" w:cs="Arial" w:eastAsia="Arial" w:hAnsi="Arial"/>
          <w:sz w:val="22"/>
          <w:szCs w:val="22"/>
        </w:rPr>
        <w:t xml:space="preserve">A fair financial settlement requires both parties to have a complete picture of all assets, income, liabilities, and pensions. If your spouse conceals or withholds financial information, any settlement you reach is based on incomplete data — and may later be set aside if the non-disclosure was material.</w:t>
      </w:r>
    </w:p>
    <w:p>
      <w:pPr>
        <w:pStyle w:val="Heading2"/>
        <w:spacing w:before="300" w:after="140"/>
      </w:pPr>
      <w:r>
        <w:rPr>
          <w:rFonts w:ascii="Arial" w:cs="Arial" w:eastAsia="Arial" w:hAnsi="Arial"/>
          <w:b/>
          <w:bCs/>
          <w:color w:val="2563a8"/>
          <w:sz w:val="28"/>
          <w:szCs w:val="28"/>
        </w:rPr>
        <w:t xml:space="preserve">What Courts Can Do When Disclosure is Refused</w:t>
      </w:r>
    </w:p>
    <w:p>
      <w:pPr>
        <w:spacing w:before="220" w:after="100"/>
      </w:pPr>
      <w:r>
        <w:rPr>
          <w:rFonts w:ascii="Arial" w:cs="Arial" w:eastAsia="Arial" w:hAnsi="Arial"/>
          <w:b/>
          <w:bCs/>
          <w:color w:val="1a3c5e"/>
          <w:sz w:val="24"/>
          <w:szCs w:val="24"/>
        </w:rPr>
        <w:t xml:space="preserve">Unless orders</w:t>
      </w:r>
    </w:p>
    <w:p>
      <w:pPr>
        <w:spacing w:before="80" w:after="80"/>
      </w:pPr>
      <w:r>
        <w:rPr>
          <w:rFonts w:ascii="Arial" w:cs="Arial" w:eastAsia="Arial" w:hAnsi="Arial"/>
          <w:sz w:val="22"/>
          <w:szCs w:val="22"/>
        </w:rPr>
        <w:t xml:space="preserve">If a party fails to comply with a court disclosure order, the other party can apply for an 'unless order' — requiring compliance by a specific date, failing which the court will take specified action (such as striking out their case, refusing to allow them to rely on certain evidence, or proceeding in their absence).</w:t>
      </w:r>
    </w:p>
    <w:p>
      <w:pPr>
        <w:spacing w:before="220" w:after="100"/>
      </w:pPr>
      <w:r>
        <w:rPr>
          <w:rFonts w:ascii="Arial" w:cs="Arial" w:eastAsia="Arial" w:hAnsi="Arial"/>
          <w:b/>
          <w:bCs/>
          <w:color w:val="1a3c5e"/>
          <w:sz w:val="24"/>
          <w:szCs w:val="24"/>
        </w:rPr>
        <w:t xml:space="preserve">Adverse inferences</w:t>
      </w:r>
    </w:p>
    <w:p>
      <w:pPr>
        <w:spacing w:before="80" w:after="80"/>
      </w:pPr>
      <w:r>
        <w:rPr>
          <w:rFonts w:ascii="Arial" w:cs="Arial" w:eastAsia="Arial" w:hAnsi="Arial"/>
          <w:sz w:val="22"/>
          <w:szCs w:val="22"/>
        </w:rPr>
        <w:t xml:space="preserve">Courts are specifically empowered to draw adverse inferences against a non-disclosing party. This means the judge can assume the worst — that the information is being hidden because it would be unfavourable — and adjust the financial award accordingly. A refusal to disclose can therefore actively damage the refusing party's settlement.</w:t>
      </w:r>
    </w:p>
    <w:p>
      <w:pPr>
        <w:spacing w:before="220" w:after="100"/>
      </w:pPr>
      <w:r>
        <w:rPr>
          <w:rFonts w:ascii="Arial" w:cs="Arial" w:eastAsia="Arial" w:hAnsi="Arial"/>
          <w:b/>
          <w:bCs/>
          <w:color w:val="1a3c5e"/>
          <w:sz w:val="24"/>
          <w:szCs w:val="24"/>
        </w:rPr>
        <w:t xml:space="preserve">Third-party disclosure orders</w:t>
      </w:r>
    </w:p>
    <w:p>
      <w:pPr>
        <w:spacing w:before="80" w:after="80"/>
      </w:pPr>
      <w:r>
        <w:rPr>
          <w:rFonts w:ascii="Arial" w:cs="Arial" w:eastAsia="Arial" w:hAnsi="Arial"/>
          <w:sz w:val="22"/>
          <w:szCs w:val="22"/>
        </w:rPr>
        <w:t xml:space="preserve">Courts can order banks, employers, HMRC, and pension providers to produce financial records directly to the court, bypassing the non-cooperative spouse entirely. These orders are particularly effective for uncovering savings accounts, pension values, and undeclared income.</w:t>
      </w:r>
    </w:p>
    <w:p>
      <w:pPr>
        <w:spacing w:before="220" w:after="100"/>
      </w:pPr>
      <w:r>
        <w:rPr>
          <w:rFonts w:ascii="Arial" w:cs="Arial" w:eastAsia="Arial" w:hAnsi="Arial"/>
          <w:b/>
          <w:bCs/>
          <w:color w:val="1a3c5e"/>
          <w:sz w:val="24"/>
          <w:szCs w:val="24"/>
        </w:rPr>
        <w:t xml:space="preserve">Contempt of court</w:t>
      </w:r>
    </w:p>
    <w:p>
      <w:pPr>
        <w:spacing w:before="80" w:after="80"/>
      </w:pPr>
      <w:r>
        <w:rPr>
          <w:rFonts w:ascii="Arial" w:cs="Arial" w:eastAsia="Arial" w:hAnsi="Arial"/>
          <w:sz w:val="22"/>
          <w:szCs w:val="22"/>
        </w:rPr>
        <w:t xml:space="preserve">Persistent non-compliance with a court disclosure order can result in contempt proceedings. Sanctions include fines and, in the most serious cases, imprisonment. While this is relatively rare, courts have not hesitated to use these powers where the non-disclosure is deliberate and sustained.</w:t>
      </w:r>
    </w:p>
    <w:p>
      <w:pPr>
        <w:spacing w:before="220" w:after="100"/>
      </w:pPr>
      <w:r>
        <w:rPr>
          <w:rFonts w:ascii="Arial" w:cs="Arial" w:eastAsia="Arial" w:hAnsi="Arial"/>
          <w:b/>
          <w:bCs/>
          <w:color w:val="1a3c5e"/>
          <w:sz w:val="24"/>
          <w:szCs w:val="24"/>
        </w:rPr>
        <w:t xml:space="preserve">Section 37 applications</w:t>
      </w:r>
    </w:p>
    <w:p>
      <w:pPr>
        <w:spacing w:before="80" w:after="80"/>
      </w:pPr>
      <w:r>
        <w:rPr>
          <w:rFonts w:ascii="Arial" w:cs="Arial" w:eastAsia="Arial" w:hAnsi="Arial"/>
          <w:sz w:val="22"/>
          <w:szCs w:val="22"/>
        </w:rPr>
        <w:t xml:space="preserve">If you believe your spouse is transferring assets to third parties to conceal them, an urgent application under Section 37 of the Matrimonial Causes Act 1973 can freeze those transactions and require them to be reversed.</w:t>
      </w:r>
    </w:p>
    <w:p>
      <w:pPr>
        <w:pStyle w:val="Heading2"/>
        <w:spacing w:before="300" w:after="140"/>
      </w:pPr>
      <w:r>
        <w:rPr>
          <w:rFonts w:ascii="Arial" w:cs="Arial" w:eastAsia="Arial" w:hAnsi="Arial"/>
          <w:b/>
          <w:bCs/>
          <w:color w:val="2563a8"/>
          <w:sz w:val="28"/>
          <w:szCs w:val="28"/>
        </w:rPr>
        <w:t xml:space="preserve">What to Do Before Issuing Court Proceedings</w:t>
      </w:r>
    </w:p>
    <w:p>
      <w:pPr>
        <w:spacing w:before="80" w:after="80"/>
      </w:pPr>
      <w:r>
        <w:rPr>
          <w:rFonts w:ascii="Arial" w:cs="Arial" w:eastAsia="Arial" w:hAnsi="Arial"/>
          <w:sz w:val="22"/>
          <w:szCs w:val="22"/>
        </w:rPr>
        <w:t xml:space="preserve">Even before formal court proceedings, there are steps you can take:</w:t>
      </w:r>
    </w:p>
    <w:p>
      <w:pPr>
        <w:pStyle w:val="ListParagraph"/>
        <w:numPr>
          <w:ilvl w:val="0"/>
          <w:numId w:val="2"/>
        </w:numPr>
        <w:spacing w:before="60" w:after="60"/>
      </w:pPr>
      <w:r>
        <w:rPr>
          <w:rFonts w:ascii="Arial" w:cs="Arial" w:eastAsia="Arial" w:hAnsi="Arial"/>
          <w:sz w:val="22"/>
          <w:szCs w:val="22"/>
        </w:rPr>
        <w:t xml:space="preserve">Write formally requesting specific documents, setting a reasonable deadline</w:t>
      </w:r>
    </w:p>
    <w:p>
      <w:pPr>
        <w:pStyle w:val="ListParagraph"/>
        <w:numPr>
          <w:ilvl w:val="0"/>
          <w:numId w:val="2"/>
        </w:numPr>
        <w:spacing w:before="60" w:after="60"/>
      </w:pPr>
      <w:r>
        <w:rPr>
          <w:rFonts w:ascii="Arial" w:cs="Arial" w:eastAsia="Arial" w:hAnsi="Arial"/>
          <w:sz w:val="22"/>
          <w:szCs w:val="22"/>
        </w:rPr>
        <w:t xml:space="preserve">Use your solicitor to make a formal request — this creates a documented record</w:t>
      </w:r>
    </w:p>
    <w:p>
      <w:pPr>
        <w:pStyle w:val="ListParagraph"/>
        <w:numPr>
          <w:ilvl w:val="0"/>
          <w:numId w:val="2"/>
        </w:numPr>
        <w:spacing w:before="60" w:after="60"/>
      </w:pPr>
      <w:r>
        <w:rPr>
          <w:rFonts w:ascii="Arial" w:cs="Arial" w:eastAsia="Arial" w:hAnsi="Arial"/>
          <w:sz w:val="22"/>
          <w:szCs w:val="22"/>
        </w:rPr>
        <w:t xml:space="preserve">Check publicly available records — Land Registry, Companies House, electoral roll — for property and business interests</w:t>
      </w:r>
    </w:p>
    <w:p>
      <w:pPr>
        <w:pStyle w:val="ListParagraph"/>
        <w:numPr>
          <w:ilvl w:val="0"/>
          <w:numId w:val="2"/>
        </w:numPr>
        <w:spacing w:before="60" w:after="60"/>
      </w:pPr>
      <w:r>
        <w:rPr>
          <w:rFonts w:ascii="Arial" w:cs="Arial" w:eastAsia="Arial" w:hAnsi="Arial"/>
          <w:sz w:val="22"/>
          <w:szCs w:val="22"/>
        </w:rPr>
        <w:t xml:space="preserve">Request payslips, P60s, and tax returns directly from HMRC (you are entitled to your own tax information which may reveal joint income)</w:t>
      </w:r>
    </w:p>
    <w:p>
      <w:pPr>
        <w:pStyle w:val="ListParagraph"/>
        <w:numPr>
          <w:ilvl w:val="0"/>
          <w:numId w:val="2"/>
        </w:numPr>
        <w:spacing w:before="60" w:after="60"/>
      </w:pPr>
      <w:r>
        <w:rPr>
          <w:rFonts w:ascii="Arial" w:cs="Arial" w:eastAsia="Arial" w:hAnsi="Arial"/>
          <w:sz w:val="22"/>
          <w:szCs w:val="22"/>
        </w:rPr>
        <w:t xml:space="preserve">Consider instructing a private investigator or forensic accountant if you believe concealment is significant</w:t>
      </w:r>
    </w:p>
    <w:p>
      <w:pPr>
        <w:pStyle w:val="Heading2"/>
        <w:spacing w:before="300" w:after="140"/>
      </w:pPr>
      <w:r>
        <w:rPr>
          <w:rFonts w:ascii="Arial" w:cs="Arial" w:eastAsia="Arial" w:hAnsi="Arial"/>
          <w:b/>
          <w:bCs/>
          <w:color w:val="2563a8"/>
          <w:sz w:val="28"/>
          <w:szCs w:val="28"/>
        </w:rPr>
        <w:t xml:space="preserve">Can You Reach a Settlement Without Full Disclosure?</w:t>
      </w:r>
    </w:p>
    <w:p>
      <w:pPr>
        <w:spacing w:before="80" w:after="80"/>
      </w:pPr>
      <w:r>
        <w:rPr>
          <w:rFonts w:ascii="Arial" w:cs="Arial" w:eastAsia="Arial" w:hAnsi="Arial"/>
          <w:sz w:val="22"/>
          <w:szCs w:val="22"/>
        </w:rPr>
        <w:t xml:space="preserve">Technically you can — but it is inadvisable. Any settlement reached without full disclosure is vulnerable to being set aside later if the undisclosed information was material. Courts will not approve a consent order if there is evidence that disclosure was incomplete or dishonest. Getting your settlement right requires complete information.</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Courts can compel disclosure through unless orders, third-party orders, and contempt proceedings</w:t>
      </w:r>
    </w:p>
    <w:p>
      <w:pPr>
        <w:pStyle w:val="ListParagraph"/>
        <w:numPr>
          <w:ilvl w:val="0"/>
          <w:numId w:val="2"/>
        </w:numPr>
        <w:spacing w:before="60" w:after="60"/>
      </w:pPr>
      <w:r>
        <w:rPr>
          <w:rFonts w:ascii="Arial" w:cs="Arial" w:eastAsia="Arial" w:hAnsi="Arial"/>
          <w:sz w:val="22"/>
          <w:szCs w:val="22"/>
        </w:rPr>
        <w:t xml:space="preserve">Courts draw adverse inferences against non-disclosing parties — refusal to disclose damages the refusing party's case</w:t>
      </w:r>
    </w:p>
    <w:p>
      <w:pPr>
        <w:pStyle w:val="ListParagraph"/>
        <w:numPr>
          <w:ilvl w:val="0"/>
          <w:numId w:val="2"/>
        </w:numPr>
        <w:spacing w:before="60" w:after="60"/>
      </w:pPr>
      <w:r>
        <w:rPr>
          <w:rFonts w:ascii="Arial" w:cs="Arial" w:eastAsia="Arial" w:hAnsi="Arial"/>
          <w:sz w:val="22"/>
          <w:szCs w:val="22"/>
        </w:rPr>
        <w:t xml:space="preserve">Third-party disclosure orders bypass the non-cooperative spouse entirely</w:t>
      </w:r>
    </w:p>
    <w:p>
      <w:pPr>
        <w:pStyle w:val="ListParagraph"/>
        <w:numPr>
          <w:ilvl w:val="0"/>
          <w:numId w:val="2"/>
        </w:numPr>
        <w:spacing w:before="60" w:after="60"/>
      </w:pPr>
      <w:r>
        <w:rPr>
          <w:rFonts w:ascii="Arial" w:cs="Arial" w:eastAsia="Arial" w:hAnsi="Arial"/>
          <w:sz w:val="22"/>
          <w:szCs w:val="22"/>
        </w:rPr>
        <w:t xml:space="preserve">A settlement based on incomplete disclosure can be set aside later</w:t>
      </w:r>
    </w:p>
    <w:p>
      <w:pPr>
        <w:pStyle w:val="ListParagraph"/>
        <w:numPr>
          <w:ilvl w:val="0"/>
          <w:numId w:val="2"/>
        </w:numPr>
        <w:spacing w:before="60" w:after="60"/>
      </w:pPr>
      <w:r>
        <w:rPr>
          <w:rFonts w:ascii="Arial" w:cs="Arial" w:eastAsia="Arial" w:hAnsi="Arial"/>
          <w:sz w:val="22"/>
          <w:szCs w:val="22"/>
        </w:rPr>
        <w:t xml:space="preserve">Take legal advice immediately if your spouse is refusing to engage with financial disclosure</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What if my spouse claims they have no documents?</w:t>
      </w:r>
    </w:p>
    <w:p>
      <w:pPr>
        <w:spacing w:before="80" w:after="80"/>
      </w:pPr>
      <w:r>
        <w:rPr>
          <w:rFonts w:ascii="Arial" w:cs="Arial" w:eastAsia="Arial" w:hAnsi="Arial"/>
          <w:sz w:val="22"/>
          <w:szCs w:val="22"/>
        </w:rPr>
        <w:t xml:space="preserve">Courts can order banks and other institutions to produce documents directly. If your spouse claims they have no bank records, for example, the court can require the bank to produce them. 'I don't have the documents' is not an excuse courts accept where records clearly exist.</w:t>
      </w:r>
    </w:p>
    <w:p>
      <w:pPr>
        <w:spacing w:before="220" w:after="100"/>
      </w:pPr>
      <w:r>
        <w:rPr>
          <w:rFonts w:ascii="Arial" w:cs="Arial" w:eastAsia="Arial" w:hAnsi="Arial"/>
          <w:b/>
          <w:bCs/>
          <w:color w:val="1a3c5e"/>
          <w:sz w:val="24"/>
          <w:szCs w:val="24"/>
        </w:rPr>
        <w:t xml:space="preserve">Can I be penalised if I provide incomplete disclosure by mistake?</w:t>
      </w:r>
    </w:p>
    <w:p>
      <w:pPr>
        <w:spacing w:before="80" w:after="80"/>
      </w:pPr>
      <w:r>
        <w:rPr>
          <w:rFonts w:ascii="Arial" w:cs="Arial" w:eastAsia="Arial" w:hAnsi="Arial"/>
          <w:sz w:val="22"/>
          <w:szCs w:val="22"/>
        </w:rPr>
        <w:t xml:space="preserve">Unintentional omissions happen — courts distinguish between honest oversight and deliberate concealment. If you discover you omitted information, update your disclosure promptly. Deliberate withholding is treated far more seriously than accidental omission.</w:t>
      </w:r>
    </w:p>
    <w:p>
      <w:pPr>
        <w:spacing w:before="220" w:after="100"/>
      </w:pPr>
      <w:r>
        <w:rPr>
          <w:rFonts w:ascii="Arial" w:cs="Arial" w:eastAsia="Arial" w:hAnsi="Arial"/>
          <w:b/>
          <w:bCs/>
          <w:color w:val="1a3c5e"/>
          <w:sz w:val="24"/>
          <w:szCs w:val="24"/>
        </w:rPr>
        <w:t xml:space="preserve">What is a Norris v Norris direction?</w:t>
      </w:r>
    </w:p>
    <w:p>
      <w:pPr>
        <w:spacing w:before="80" w:after="80"/>
      </w:pPr>
      <w:r>
        <w:rPr>
          <w:rFonts w:ascii="Arial" w:cs="Arial" w:eastAsia="Arial" w:hAnsi="Arial"/>
          <w:sz w:val="22"/>
          <w:szCs w:val="22"/>
        </w:rPr>
        <w:t xml:space="preserve">This refers to a court direction where a party who fails to comply with disclosure is penalised by having their case treated in a way that reflects the inference drawn from non-disclosure. It is one of the tools courts use to address persistent non-compliance.</w:t>
      </w:r>
    </w:p>
    <w:p>
      <w:pPr>
        <w:spacing w:before="220" w:after="100"/>
      </w:pPr>
      <w:r>
        <w:rPr>
          <w:rFonts w:ascii="Arial" w:cs="Arial" w:eastAsia="Arial" w:hAnsi="Arial"/>
          <w:b/>
          <w:bCs/>
          <w:color w:val="1a3c5e"/>
          <w:sz w:val="24"/>
          <w:szCs w:val="24"/>
        </w:rPr>
        <w:t xml:space="preserve">What if the information is abroad?</w:t>
      </w:r>
    </w:p>
    <w:p>
      <w:pPr>
        <w:spacing w:before="80" w:after="80"/>
      </w:pPr>
      <w:r>
        <w:rPr>
          <w:rFonts w:ascii="Arial" w:cs="Arial" w:eastAsia="Arial" w:hAnsi="Arial"/>
          <w:sz w:val="22"/>
          <w:szCs w:val="22"/>
        </w:rPr>
        <w:t xml:space="preserve">Courts can make orders for foreign disclosure and, in serious cases, can apply to foreign courts for assistance. International enforcement is complex but courts do not accept overseas location as an excuse for non-disclosure.</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Can I Divorce Without a Financial Settlement UK? The Risks You Need to Know</w:t>
      </w:r>
    </w:p>
    <w:p>
      <w:pPr>
        <w:spacing w:before="80" w:after="80"/>
      </w:pPr>
      <w:r>
        <w:rPr>
          <w:rFonts w:ascii="Arial" w:cs="Arial" w:eastAsia="Arial" w:hAnsi="Arial"/>
          <w:sz w:val="22"/>
          <w:szCs w:val="22"/>
        </w:rPr>
        <w:t xml:space="preserve">Can I divorce without a financial settlement UK? Yes — it is legally possible to obtain a Final Order (formerly Decree Absolute) and be legally divorced without having addressed your finances. But doing so without a financial settlement in place — formalised in a court-approved consent order — is one of the most financially dangerous mistakes you can make. In England and Wales, financial claims do not expire when you divorce. Without a formal order, your ex-spouse can make financial claims against you years or even decades later.</w:t>
      </w:r>
    </w:p>
    <w:p>
      <w:pPr>
        <w:pStyle w:val="Heading2"/>
        <w:spacing w:before="300" w:after="140"/>
      </w:pPr>
      <w:r>
        <w:rPr>
          <w:rFonts w:ascii="Arial" w:cs="Arial" w:eastAsia="Arial" w:hAnsi="Arial"/>
          <w:b/>
          <w:bCs/>
          <w:color w:val="2563a8"/>
          <w:sz w:val="28"/>
          <w:szCs w:val="28"/>
        </w:rPr>
        <w:t xml:space="preserve">What 'Divorcing Without Financial Settlement' Actually Means</w:t>
      </w:r>
    </w:p>
    <w:p>
      <w:pPr>
        <w:spacing w:before="80" w:after="80"/>
      </w:pPr>
      <w:r>
        <w:rPr>
          <w:rFonts w:ascii="Arial" w:cs="Arial" w:eastAsia="Arial" w:hAnsi="Arial"/>
          <w:sz w:val="22"/>
          <w:szCs w:val="22"/>
        </w:rPr>
        <w:t xml:space="preserve">Getting divorced — going through the no-fault divorce process and obtaining your Final Order — is legally separate from dealing with your finances. You can complete the divorce itself without any financial agreement. But:</w:t>
      </w:r>
    </w:p>
    <w:p>
      <w:pPr>
        <w:pStyle w:val="ListParagraph"/>
        <w:numPr>
          <w:ilvl w:val="0"/>
          <w:numId w:val="2"/>
        </w:numPr>
        <w:spacing w:before="60" w:after="60"/>
      </w:pPr>
      <w:r>
        <w:rPr>
          <w:rFonts w:ascii="Arial" w:cs="Arial" w:eastAsia="Arial" w:hAnsi="Arial"/>
          <w:sz w:val="22"/>
          <w:szCs w:val="22"/>
        </w:rPr>
        <w:t xml:space="preserve">Your ex retains the right to bring financial claims against you indefinitely</w:t>
      </w:r>
    </w:p>
    <w:p>
      <w:pPr>
        <w:pStyle w:val="ListParagraph"/>
        <w:numPr>
          <w:ilvl w:val="0"/>
          <w:numId w:val="2"/>
        </w:numPr>
        <w:spacing w:before="60" w:after="60"/>
      </w:pPr>
      <w:r>
        <w:rPr>
          <w:rFonts w:ascii="Arial" w:cs="Arial" w:eastAsia="Arial" w:hAnsi="Arial"/>
          <w:sz w:val="22"/>
          <w:szCs w:val="22"/>
        </w:rPr>
        <w:t xml:space="preserve">Their financial claims can include your future assets — savings built up after divorce, inheritance, even lottery winnings</w:t>
      </w:r>
    </w:p>
    <w:p>
      <w:pPr>
        <w:pStyle w:val="ListParagraph"/>
        <w:numPr>
          <w:ilvl w:val="0"/>
          <w:numId w:val="2"/>
        </w:numPr>
        <w:spacing w:before="60" w:after="60"/>
      </w:pPr>
      <w:r>
        <w:rPr>
          <w:rFonts w:ascii="Arial" w:cs="Arial" w:eastAsia="Arial" w:hAnsi="Arial"/>
          <w:sz w:val="22"/>
          <w:szCs w:val="22"/>
        </w:rPr>
        <w:t xml:space="preserve">You have no legal protection against these claims without a court order</w:t>
      </w:r>
    </w:p>
    <w:p>
      <w:pPr>
        <w:pStyle w:val="Heading2"/>
        <w:spacing w:before="300" w:after="140"/>
      </w:pPr>
      <w:r>
        <w:rPr>
          <w:rFonts w:ascii="Arial" w:cs="Arial" w:eastAsia="Arial" w:hAnsi="Arial"/>
          <w:b/>
          <w:bCs/>
          <w:color w:val="2563a8"/>
          <w:sz w:val="28"/>
          <w:szCs w:val="28"/>
        </w:rPr>
        <w:t xml:space="preserve">The Wyatt v Vince Warning</w:t>
      </w:r>
    </w:p>
    <w:p>
      <w:pPr>
        <w:spacing w:before="80" w:after="80"/>
      </w:pPr>
      <w:r>
        <w:rPr>
          <w:rFonts w:ascii="Arial" w:cs="Arial" w:eastAsia="Arial" w:hAnsi="Arial"/>
          <w:sz w:val="22"/>
          <w:szCs w:val="22"/>
        </w:rPr>
        <w:t xml:space="preserve">The case of Wyatt v Vince [2015] is the most cited cautionary example. Kathleen Wyatt divorced Dale Vince in 1992. No financial order was made. Over 20 years later — by which time Vince had become a millionaire — she successfully applied to the Supreme Court for permission to pursue financial claims. He had built his fortune after the marriage ended, but the lack of a clean break order left the claims open. The case settled, but the legal costs alone were substantial.</w:t>
      </w:r>
    </w:p>
    <w:p>
      <w:pPr>
        <w:pStyle w:val="Heading2"/>
        <w:spacing w:before="300" w:after="140"/>
      </w:pPr>
      <w:r>
        <w:rPr>
          <w:rFonts w:ascii="Arial" w:cs="Arial" w:eastAsia="Arial" w:hAnsi="Arial"/>
          <w:b/>
          <w:bCs/>
          <w:color w:val="2563a8"/>
          <w:sz w:val="28"/>
          <w:szCs w:val="28"/>
        </w:rPr>
        <w:t xml:space="preserve">Why People Divorce Without Addressing Finances</w:t>
      </w:r>
    </w:p>
    <w:p>
      <w:pPr>
        <w:spacing w:before="80" w:after="80"/>
      </w:pPr>
      <w:r>
        <w:rPr>
          <w:rFonts w:ascii="Arial" w:cs="Arial" w:eastAsia="Arial" w:hAnsi="Arial"/>
          <w:sz w:val="22"/>
          <w:szCs w:val="22"/>
        </w:rPr>
        <w:t xml:space="preserve">This situation arises more commonly than people realise, typically when:</w:t>
      </w:r>
    </w:p>
    <w:p>
      <w:pPr>
        <w:pStyle w:val="ListParagraph"/>
        <w:numPr>
          <w:ilvl w:val="0"/>
          <w:numId w:val="2"/>
        </w:numPr>
        <w:spacing w:before="60" w:after="60"/>
      </w:pPr>
      <w:r>
        <w:rPr>
          <w:rFonts w:ascii="Arial" w:cs="Arial" w:eastAsia="Arial" w:hAnsi="Arial"/>
          <w:sz w:val="22"/>
          <w:szCs w:val="22"/>
        </w:rPr>
        <w:t xml:space="preserve">Both parties have few assets at the time of divorce and assume there is nothing to settle</w:t>
      </w:r>
    </w:p>
    <w:p>
      <w:pPr>
        <w:pStyle w:val="ListParagraph"/>
        <w:numPr>
          <w:ilvl w:val="0"/>
          <w:numId w:val="2"/>
        </w:numPr>
        <w:spacing w:before="60" w:after="60"/>
      </w:pPr>
      <w:r>
        <w:rPr>
          <w:rFonts w:ascii="Arial" w:cs="Arial" w:eastAsia="Arial" w:hAnsi="Arial"/>
          <w:sz w:val="22"/>
          <w:szCs w:val="22"/>
        </w:rPr>
        <w:t xml:space="preserve">One or both parties are unrepresented and do not understand the law</w:t>
      </w:r>
    </w:p>
    <w:p>
      <w:pPr>
        <w:pStyle w:val="ListParagraph"/>
        <w:numPr>
          <w:ilvl w:val="0"/>
          <w:numId w:val="2"/>
        </w:numPr>
        <w:spacing w:before="60" w:after="60"/>
      </w:pPr>
      <w:r>
        <w:rPr>
          <w:rFonts w:ascii="Arial" w:cs="Arial" w:eastAsia="Arial" w:hAnsi="Arial"/>
          <w:sz w:val="22"/>
          <w:szCs w:val="22"/>
        </w:rPr>
        <w:t xml:space="preserve">The divorce was obtained quickly online and finances were left 'to sort out later'</w:t>
      </w:r>
    </w:p>
    <w:p>
      <w:pPr>
        <w:pStyle w:val="ListParagraph"/>
        <w:numPr>
          <w:ilvl w:val="0"/>
          <w:numId w:val="2"/>
        </w:numPr>
        <w:spacing w:before="60" w:after="60"/>
      </w:pPr>
      <w:r>
        <w:rPr>
          <w:rFonts w:ascii="Arial" w:cs="Arial" w:eastAsia="Arial" w:hAnsi="Arial"/>
          <w:sz w:val="22"/>
          <w:szCs w:val="22"/>
        </w:rPr>
        <w:t xml:space="preserve">Parties informally agreed not to make claims, not realising an informal agreement is not binding</w:t>
      </w:r>
    </w:p>
    <w:p>
      <w:pPr>
        <w:pStyle w:val="Heading2"/>
        <w:spacing w:before="300" w:after="140"/>
      </w:pPr>
      <w:r>
        <w:rPr>
          <w:rFonts w:ascii="Arial" w:cs="Arial" w:eastAsia="Arial" w:hAnsi="Arial"/>
          <w:b/>
          <w:bCs/>
          <w:color w:val="2563a8"/>
          <w:sz w:val="28"/>
          <w:szCs w:val="28"/>
        </w:rPr>
        <w:t xml:space="preserve">An Informal Agreement is Not Enough</w:t>
      </w:r>
    </w:p>
    <w:p>
      <w:pPr>
        <w:spacing w:before="80" w:after="80"/>
      </w:pPr>
      <w:r>
        <w:rPr>
          <w:rFonts w:ascii="Arial" w:cs="Arial" w:eastAsia="Arial" w:hAnsi="Arial"/>
          <w:sz w:val="22"/>
          <w:szCs w:val="22"/>
        </w:rPr>
        <w:t xml:space="preserve">Even if you and your ex have agreed verbally or in writing not to pursue financial claims, this agreement is not legally binding in England and Wales. Only a court-approved consent order creates the legal finality you need. This is one of the most misunderstood aspects of UK divorce law.</w:t>
      </w:r>
    </w:p>
    <w:p>
      <w:pPr>
        <w:pStyle w:val="Heading2"/>
        <w:spacing w:before="300" w:after="140"/>
      </w:pPr>
      <w:r>
        <w:rPr>
          <w:rFonts w:ascii="Arial" w:cs="Arial" w:eastAsia="Arial" w:hAnsi="Arial"/>
          <w:b/>
          <w:bCs/>
          <w:color w:val="2563a8"/>
          <w:sz w:val="28"/>
          <w:szCs w:val="28"/>
        </w:rPr>
        <w:t xml:space="preserve">What to Do if You're Already Divorced Without a Financial Order</w:t>
      </w:r>
    </w:p>
    <w:p>
      <w:pPr>
        <w:spacing w:before="80" w:after="80"/>
      </w:pPr>
      <w:r>
        <w:rPr>
          <w:rFonts w:ascii="Arial" w:cs="Arial" w:eastAsia="Arial" w:hAnsi="Arial"/>
          <w:sz w:val="22"/>
          <w:szCs w:val="22"/>
        </w:rPr>
        <w:t xml:space="preserve">If you are already divorced and have no financial order in place:</w:t>
      </w:r>
    </w:p>
    <w:p>
      <w:pPr>
        <w:pStyle w:val="ListParagraph"/>
        <w:numPr>
          <w:ilvl w:val="0"/>
          <w:numId w:val="2"/>
        </w:numPr>
        <w:spacing w:before="60" w:after="60"/>
      </w:pPr>
      <w:r>
        <w:rPr>
          <w:rFonts w:ascii="Arial" w:cs="Arial" w:eastAsia="Arial" w:hAnsi="Arial"/>
          <w:sz w:val="22"/>
          <w:szCs w:val="22"/>
        </w:rPr>
        <w:t xml:space="preserve">Seek legal advice urgently — the sooner you address this, the simpler and cheaper it is</w:t>
      </w:r>
    </w:p>
    <w:p>
      <w:pPr>
        <w:pStyle w:val="ListParagraph"/>
        <w:numPr>
          <w:ilvl w:val="0"/>
          <w:numId w:val="2"/>
        </w:numPr>
        <w:spacing w:before="60" w:after="60"/>
      </w:pPr>
      <w:r>
        <w:rPr>
          <w:rFonts w:ascii="Arial" w:cs="Arial" w:eastAsia="Arial" w:hAnsi="Arial"/>
          <w:sz w:val="22"/>
          <w:szCs w:val="22"/>
        </w:rPr>
        <w:t xml:space="preserve">If both parties agree there are no claims, a simple 'clean break' consent order can be obtained</w:t>
      </w:r>
    </w:p>
    <w:p>
      <w:pPr>
        <w:pStyle w:val="ListParagraph"/>
        <w:numPr>
          <w:ilvl w:val="0"/>
          <w:numId w:val="2"/>
        </w:numPr>
        <w:spacing w:before="60" w:after="60"/>
      </w:pPr>
      <w:r>
        <w:rPr>
          <w:rFonts w:ascii="Arial" w:cs="Arial" w:eastAsia="Arial" w:hAnsi="Arial"/>
          <w:sz w:val="22"/>
          <w:szCs w:val="22"/>
        </w:rPr>
        <w:t xml:space="preserve">If circumstances have changed significantly since divorce, the terms of any agreement will need fresh consideration</w:t>
      </w:r>
    </w:p>
    <w:p>
      <w:pPr>
        <w:pStyle w:val="ListParagraph"/>
        <w:numPr>
          <w:ilvl w:val="0"/>
          <w:numId w:val="2"/>
        </w:numPr>
        <w:spacing w:before="60" w:after="60"/>
      </w:pPr>
      <w:r>
        <w:rPr>
          <w:rFonts w:ascii="Arial" w:cs="Arial" w:eastAsia="Arial" w:hAnsi="Arial"/>
          <w:sz w:val="22"/>
          <w:szCs w:val="22"/>
        </w:rPr>
        <w:t xml:space="preserve">Use a divorce financial settlement calculator to understand the current financial picture before instructing solicitors</w:t>
      </w:r>
    </w:p>
    <w:p>
      <w:pPr>
        <w:pStyle w:val="Heading2"/>
        <w:spacing w:before="300" w:after="140"/>
      </w:pPr>
      <w:r>
        <w:rPr>
          <w:rFonts w:ascii="Arial" w:cs="Arial" w:eastAsia="Arial" w:hAnsi="Arial"/>
          <w:b/>
          <w:bCs/>
          <w:color w:val="2563a8"/>
          <w:sz w:val="28"/>
          <w:szCs w:val="28"/>
        </w:rPr>
        <w:t xml:space="preserve">The Cost of Getting a Consent Order Now vs Later</w:t>
      </w:r>
    </w:p>
    <w:p>
      <w:pPr>
        <w:spacing w:before="80" w:after="80"/>
      </w:pPr>
      <w:r>
        <w:rPr>
          <w:rFonts w:ascii="Arial" w:cs="Arial" w:eastAsia="Arial" w:hAnsi="Arial"/>
          <w:sz w:val="22"/>
          <w:szCs w:val="22"/>
        </w:rPr>
        <w:t xml:space="preserve">A consent order obtained at the time of divorce — when both parties are motivated to resolve matters — is relatively straightforward and inexpensive (£500-£1,500 for a simple case). A consent order sought years later, when one party has built significant wealth and the other believes they have a valid claim, is an entirely different and vastly more expensive proposition.</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You can divorce without a financial settlement — but you should not</w:t>
      </w:r>
    </w:p>
    <w:p>
      <w:pPr>
        <w:pStyle w:val="ListParagraph"/>
        <w:numPr>
          <w:ilvl w:val="0"/>
          <w:numId w:val="2"/>
        </w:numPr>
        <w:spacing w:before="60" w:after="60"/>
      </w:pPr>
      <w:r>
        <w:rPr>
          <w:rFonts w:ascii="Arial" w:cs="Arial" w:eastAsia="Arial" w:hAnsi="Arial"/>
          <w:sz w:val="22"/>
          <w:szCs w:val="22"/>
        </w:rPr>
        <w:t xml:space="preserve">Financial claims remain open indefinitely without a court order — even after divorce</w:t>
      </w:r>
    </w:p>
    <w:p>
      <w:pPr>
        <w:pStyle w:val="ListParagraph"/>
        <w:numPr>
          <w:ilvl w:val="0"/>
          <w:numId w:val="2"/>
        </w:numPr>
        <w:spacing w:before="60" w:after="60"/>
      </w:pPr>
      <w:r>
        <w:rPr>
          <w:rFonts w:ascii="Arial" w:cs="Arial" w:eastAsia="Arial" w:hAnsi="Arial"/>
          <w:sz w:val="22"/>
          <w:szCs w:val="22"/>
        </w:rPr>
        <w:t xml:space="preserve">An informal agreement not to claim is not legally binding</w:t>
      </w:r>
    </w:p>
    <w:p>
      <w:pPr>
        <w:pStyle w:val="ListParagraph"/>
        <w:numPr>
          <w:ilvl w:val="0"/>
          <w:numId w:val="2"/>
        </w:numPr>
        <w:spacing w:before="60" w:after="60"/>
      </w:pPr>
      <w:r>
        <w:rPr>
          <w:rFonts w:ascii="Arial" w:cs="Arial" w:eastAsia="Arial" w:hAnsi="Arial"/>
          <w:sz w:val="22"/>
          <w:szCs w:val="22"/>
        </w:rPr>
        <w:t xml:space="preserve">A simple consent order with a clean break clause closes all financial claims permanently</w:t>
      </w:r>
    </w:p>
    <w:p>
      <w:pPr>
        <w:pStyle w:val="ListParagraph"/>
        <w:numPr>
          <w:ilvl w:val="0"/>
          <w:numId w:val="2"/>
        </w:numPr>
        <w:spacing w:before="60" w:after="60"/>
      </w:pPr>
      <w:r>
        <w:rPr>
          <w:rFonts w:ascii="Arial" w:cs="Arial" w:eastAsia="Arial" w:hAnsi="Arial"/>
          <w:sz w:val="22"/>
          <w:szCs w:val="22"/>
        </w:rPr>
        <w:t xml:space="preserve">The cost of getting this wrong — as Wyatt v Vince illustrates — can be enormous</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Is there a time limit to make financial claims after divorce?</w:t>
      </w:r>
    </w:p>
    <w:p>
      <w:pPr>
        <w:spacing w:before="80" w:after="80"/>
      </w:pPr>
      <w:r>
        <w:rPr>
          <w:rFonts w:ascii="Arial" w:cs="Arial" w:eastAsia="Arial" w:hAnsi="Arial"/>
          <w:sz w:val="22"/>
          <w:szCs w:val="22"/>
        </w:rPr>
        <w:t xml:space="preserve">There is no statutory time limit. Claims can be made years after divorce. Delay is a factor courts consider, but it does not automatically bar a claim. Only a clean break order provides complete protection.</w:t>
      </w:r>
    </w:p>
    <w:p>
      <w:pPr>
        <w:spacing w:before="220" w:after="100"/>
      </w:pPr>
      <w:r>
        <w:rPr>
          <w:rFonts w:ascii="Arial" w:cs="Arial" w:eastAsia="Arial" w:hAnsi="Arial"/>
          <w:b/>
          <w:bCs/>
          <w:color w:val="1a3c5e"/>
          <w:sz w:val="24"/>
          <w:szCs w:val="24"/>
        </w:rPr>
        <w:t xml:space="preserve">Can I get a consent order after divorce is finalised?</w:t>
      </w:r>
    </w:p>
    <w:p>
      <w:pPr>
        <w:spacing w:before="80" w:after="80"/>
      </w:pPr>
      <w:r>
        <w:rPr>
          <w:rFonts w:ascii="Arial" w:cs="Arial" w:eastAsia="Arial" w:hAnsi="Arial"/>
          <w:sz w:val="22"/>
          <w:szCs w:val="22"/>
        </w:rPr>
        <w:t xml:space="preserve">Yes — a consent order can be made at any time after divorce. However, the longer you wait, the more circumstances may have changed, and the more complex and contested the process may become.</w:t>
      </w:r>
    </w:p>
    <w:p>
      <w:pPr>
        <w:spacing w:before="220" w:after="100"/>
      </w:pPr>
      <w:r>
        <w:rPr>
          <w:rFonts w:ascii="Arial" w:cs="Arial" w:eastAsia="Arial" w:hAnsi="Arial"/>
          <w:b/>
          <w:bCs/>
          <w:color w:val="1a3c5e"/>
          <w:sz w:val="24"/>
          <w:szCs w:val="24"/>
        </w:rPr>
        <w:t xml:space="preserve">What if we genuinely have no assets to divide?</w:t>
      </w:r>
    </w:p>
    <w:p>
      <w:pPr>
        <w:spacing w:before="80" w:after="80"/>
      </w:pPr>
      <w:r>
        <w:rPr>
          <w:rFonts w:ascii="Arial" w:cs="Arial" w:eastAsia="Arial" w:hAnsi="Arial"/>
          <w:sz w:val="22"/>
          <w:szCs w:val="22"/>
        </w:rPr>
        <w:t xml:space="preserve">Even with no assets, you should obtain a consent order. Your circumstances may change. A simple clean break consent order costs very little and provides permanent protection against future claims.</w:t>
      </w:r>
    </w:p>
    <w:p>
      <w:pPr>
        <w:spacing w:before="220" w:after="100"/>
      </w:pPr>
      <w:r>
        <w:rPr>
          <w:rFonts w:ascii="Arial" w:cs="Arial" w:eastAsia="Arial" w:hAnsi="Arial"/>
          <w:b/>
          <w:bCs/>
          <w:color w:val="1a3c5e"/>
          <w:sz w:val="24"/>
          <w:szCs w:val="24"/>
        </w:rPr>
        <w:t xml:space="preserve">Does the Final Order automatically settle finances?</w:t>
      </w:r>
    </w:p>
    <w:p>
      <w:pPr>
        <w:spacing w:before="80" w:after="80"/>
      </w:pPr>
      <w:r>
        <w:rPr>
          <w:rFonts w:ascii="Arial" w:cs="Arial" w:eastAsia="Arial" w:hAnsi="Arial"/>
          <w:sz w:val="22"/>
          <w:szCs w:val="22"/>
        </w:rPr>
        <w:t xml:space="preserve">No. The Final Order ends the marriage. It has no effect whatsoever on financial claims. These must be addressed through a separate financial consent order or financial remedy order.</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What Happens if Ex Doesn't Agree Settlement UK? How to Break the Deadlock</w:t>
      </w:r>
    </w:p>
    <w:p>
      <w:pPr>
        <w:spacing w:before="80" w:after="80"/>
      </w:pPr>
      <w:r>
        <w:rPr>
          <w:rFonts w:ascii="Arial" w:cs="Arial" w:eastAsia="Arial" w:hAnsi="Arial"/>
          <w:sz w:val="22"/>
          <w:szCs w:val="22"/>
        </w:rPr>
        <w:t xml:space="preserve">What happens if my ex doesn't agree settlement UK? If your ex-spouse refuses to engage in financial settlement discussions, rejects every reasonable offer, or simply fails to participate in the process, you are not powerless. In England and Wales, you can apply to court for a Financial Remedy Order — and a judge will make a binding decision even if your ex refuses to cooperate. Non-engagement does not prevent resolution; it just changes the route.</w:t>
      </w:r>
    </w:p>
    <w:p>
      <w:pPr>
        <w:pStyle w:val="Heading2"/>
        <w:spacing w:before="300" w:after="140"/>
      </w:pPr>
      <w:r>
        <w:rPr>
          <w:rFonts w:ascii="Arial" w:cs="Arial" w:eastAsia="Arial" w:hAnsi="Arial"/>
          <w:b/>
          <w:bCs/>
          <w:color w:val="2563a8"/>
          <w:sz w:val="28"/>
          <w:szCs w:val="28"/>
        </w:rPr>
        <w:t xml:space="preserve">Stage 1: Why Your Ex Might Not Agree (And What to Try First)</w:t>
      </w:r>
    </w:p>
    <w:p>
      <w:pPr>
        <w:spacing w:before="80" w:after="80"/>
      </w:pPr>
      <w:r>
        <w:rPr>
          <w:rFonts w:ascii="Arial" w:cs="Arial" w:eastAsia="Arial" w:hAnsi="Arial"/>
          <w:sz w:val="22"/>
          <w:szCs w:val="22"/>
        </w:rPr>
        <w:t xml:space="preserve">Before going to court, it is worth understanding why agreement is not being reached. Common reasons include:</w:t>
      </w:r>
    </w:p>
    <w:p>
      <w:pPr>
        <w:pStyle w:val="ListParagraph"/>
        <w:numPr>
          <w:ilvl w:val="0"/>
          <w:numId w:val="2"/>
        </w:numPr>
        <w:spacing w:before="60" w:after="60"/>
      </w:pPr>
      <w:r>
        <w:rPr>
          <w:rFonts w:ascii="Arial" w:cs="Arial" w:eastAsia="Arial" w:hAnsi="Arial"/>
          <w:sz w:val="22"/>
          <w:szCs w:val="22"/>
        </w:rPr>
        <w:t xml:space="preserve">Unrealistic expectations about what a court would award</w:t>
      </w:r>
    </w:p>
    <w:p>
      <w:pPr>
        <w:pStyle w:val="ListParagraph"/>
        <w:numPr>
          <w:ilvl w:val="0"/>
          <w:numId w:val="2"/>
        </w:numPr>
        <w:spacing w:before="60" w:after="60"/>
      </w:pPr>
      <w:r>
        <w:rPr>
          <w:rFonts w:ascii="Arial" w:cs="Arial" w:eastAsia="Arial" w:hAnsi="Arial"/>
          <w:sz w:val="22"/>
          <w:szCs w:val="22"/>
        </w:rPr>
        <w:t xml:space="preserve">Emotional resistance to accepting the marriage is over</w:t>
      </w:r>
    </w:p>
    <w:p>
      <w:pPr>
        <w:pStyle w:val="ListParagraph"/>
        <w:numPr>
          <w:ilvl w:val="0"/>
          <w:numId w:val="2"/>
        </w:numPr>
        <w:spacing w:before="60" w:after="60"/>
      </w:pPr>
      <w:r>
        <w:rPr>
          <w:rFonts w:ascii="Arial" w:cs="Arial" w:eastAsia="Arial" w:hAnsi="Arial"/>
          <w:sz w:val="22"/>
          <w:szCs w:val="22"/>
        </w:rPr>
        <w:t xml:space="preserve">Concerns about fairness that have not been properly addressed</w:t>
      </w:r>
    </w:p>
    <w:p>
      <w:pPr>
        <w:pStyle w:val="ListParagraph"/>
        <w:numPr>
          <w:ilvl w:val="0"/>
          <w:numId w:val="2"/>
        </w:numPr>
        <w:spacing w:before="60" w:after="60"/>
      </w:pPr>
      <w:r>
        <w:rPr>
          <w:rFonts w:ascii="Arial" w:cs="Arial" w:eastAsia="Arial" w:hAnsi="Arial"/>
          <w:sz w:val="22"/>
          <w:szCs w:val="22"/>
        </w:rPr>
        <w:t xml:space="preserve">Lack of financial understanding — neither party truly knows what a court might decide</w:t>
      </w:r>
    </w:p>
    <w:p>
      <w:pPr>
        <w:spacing w:before="80" w:after="80"/>
      </w:pPr>
      <w:r>
        <w:rPr>
          <w:rFonts w:ascii="Arial" w:cs="Arial" w:eastAsia="Arial" w:hAnsi="Arial"/>
          <w:sz w:val="22"/>
          <w:szCs w:val="22"/>
        </w:rPr>
        <w:t xml:space="preserve">Using a divorce financial settlement calculator to model likely outcomes and sharing the analysis with your ex (through solicitors) can sometimes break a deadlock by bringing both parties back to realistic expectations.</w:t>
      </w:r>
    </w:p>
    <w:p>
      <w:pPr>
        <w:pStyle w:val="Heading2"/>
        <w:spacing w:before="300" w:after="140"/>
      </w:pPr>
      <w:r>
        <w:rPr>
          <w:rFonts w:ascii="Arial" w:cs="Arial" w:eastAsia="Arial" w:hAnsi="Arial"/>
          <w:b/>
          <w:bCs/>
          <w:color w:val="2563a8"/>
          <w:sz w:val="28"/>
          <w:szCs w:val="28"/>
        </w:rPr>
        <w:t xml:space="preserve">Stage 2: Mediation Before Court</w:t>
      </w:r>
    </w:p>
    <w:p>
      <w:pPr>
        <w:spacing w:before="80" w:after="80"/>
      </w:pPr>
      <w:r>
        <w:rPr>
          <w:rFonts w:ascii="Arial" w:cs="Arial" w:eastAsia="Arial" w:hAnsi="Arial"/>
          <w:sz w:val="22"/>
          <w:szCs w:val="22"/>
        </w:rPr>
        <w:t xml:space="preserve">Before issuing court proceedings, both parties must attend a Mediation Information and Assessment Meeting (MIAM). This is a legal requirement in most cases. If your ex refuses to attend their MIAM, this is documented and you can proceed to court with the mediator's certificate confirming the exemption.</w:t>
      </w:r>
    </w:p>
    <w:p>
      <w:pPr>
        <w:spacing w:before="80" w:after="80"/>
      </w:pPr>
      <w:r>
        <w:rPr>
          <w:rFonts w:ascii="Arial" w:cs="Arial" w:eastAsia="Arial" w:hAnsi="Arial"/>
          <w:sz w:val="22"/>
          <w:szCs w:val="22"/>
        </w:rPr>
        <w:t xml:space="preserve">If both parties attend MIAMs and mediation fails to produce agreement, court is the next step. Courts look favourably on parties who genuinely attempted mediation and critically at those who refused.</w:t>
      </w:r>
    </w:p>
    <w:p>
      <w:pPr>
        <w:pStyle w:val="Heading2"/>
        <w:spacing w:before="300" w:after="140"/>
      </w:pPr>
      <w:r>
        <w:rPr>
          <w:rFonts w:ascii="Arial" w:cs="Arial" w:eastAsia="Arial" w:hAnsi="Arial"/>
          <w:b/>
          <w:bCs/>
          <w:color w:val="2563a8"/>
          <w:sz w:val="28"/>
          <w:szCs w:val="28"/>
        </w:rPr>
        <w:t xml:space="preserve">Stage 3: Issuing Financial Remedy Proceedings (Form A)</w:t>
      </w:r>
    </w:p>
    <w:p>
      <w:pPr>
        <w:spacing w:before="80" w:after="80"/>
      </w:pPr>
      <w:r>
        <w:rPr>
          <w:rFonts w:ascii="Arial" w:cs="Arial" w:eastAsia="Arial" w:hAnsi="Arial"/>
          <w:sz w:val="22"/>
          <w:szCs w:val="22"/>
        </w:rPr>
        <w:t xml:space="preserve">Filing Form A with the Family Court starts the financial remedy process. Both parties must then comply with formal disclosure (Form E), attend hearings, and engage with the court process. If your ex still refuses to engage:</w:t>
      </w:r>
    </w:p>
    <w:p>
      <w:pPr>
        <w:pStyle w:val="ListParagraph"/>
        <w:numPr>
          <w:ilvl w:val="0"/>
          <w:numId w:val="2"/>
        </w:numPr>
        <w:spacing w:before="60" w:after="60"/>
      </w:pPr>
      <w:r>
        <w:rPr>
          <w:rFonts w:ascii="Arial" w:cs="Arial" w:eastAsia="Arial" w:hAnsi="Arial"/>
          <w:sz w:val="22"/>
          <w:szCs w:val="22"/>
        </w:rPr>
        <w:t xml:space="preserve">The court can proceed in their absence</w:t>
      </w:r>
    </w:p>
    <w:p>
      <w:pPr>
        <w:pStyle w:val="ListParagraph"/>
        <w:numPr>
          <w:ilvl w:val="0"/>
          <w:numId w:val="2"/>
        </w:numPr>
        <w:spacing w:before="60" w:after="60"/>
      </w:pPr>
      <w:r>
        <w:rPr>
          <w:rFonts w:ascii="Arial" w:cs="Arial" w:eastAsia="Arial" w:hAnsi="Arial"/>
          <w:sz w:val="22"/>
          <w:szCs w:val="22"/>
        </w:rPr>
        <w:t xml:space="preserve">The court will draw adverse inferences from non-disclosure</w:t>
      </w:r>
    </w:p>
    <w:p>
      <w:pPr>
        <w:pStyle w:val="ListParagraph"/>
        <w:numPr>
          <w:ilvl w:val="0"/>
          <w:numId w:val="2"/>
        </w:numPr>
        <w:spacing w:before="60" w:after="60"/>
      </w:pPr>
      <w:r>
        <w:rPr>
          <w:rFonts w:ascii="Arial" w:cs="Arial" w:eastAsia="Arial" w:hAnsi="Arial"/>
          <w:sz w:val="22"/>
          <w:szCs w:val="22"/>
        </w:rPr>
        <w:t xml:space="preserve">The non-cooperating party will almost certainly face adverse costs orders</w:t>
      </w:r>
    </w:p>
    <w:p>
      <w:pPr>
        <w:pStyle w:val="ListParagraph"/>
        <w:numPr>
          <w:ilvl w:val="0"/>
          <w:numId w:val="2"/>
        </w:numPr>
        <w:spacing w:before="60" w:after="60"/>
      </w:pPr>
      <w:r>
        <w:rPr>
          <w:rFonts w:ascii="Arial" w:cs="Arial" w:eastAsia="Arial" w:hAnsi="Arial"/>
          <w:sz w:val="22"/>
          <w:szCs w:val="22"/>
        </w:rPr>
        <w:t xml:space="preserve">The judge can make a binding Financial Remedy Order based on available evidence</w:t>
      </w:r>
    </w:p>
    <w:p>
      <w:pPr>
        <w:pStyle w:val="Heading2"/>
        <w:spacing w:before="300" w:after="140"/>
      </w:pPr>
      <w:r>
        <w:rPr>
          <w:rFonts w:ascii="Arial" w:cs="Arial" w:eastAsia="Arial" w:hAnsi="Arial"/>
          <w:b/>
          <w:bCs/>
          <w:color w:val="2563a8"/>
          <w:sz w:val="28"/>
          <w:szCs w:val="28"/>
        </w:rPr>
        <w:t xml:space="preserve">The Three Court Hearings in Contested Proceedings</w:t>
      </w:r>
    </w:p>
    <w:p>
      <w:pPr>
        <w:spacing w:before="220" w:after="100"/>
      </w:pPr>
      <w:r>
        <w:rPr>
          <w:rFonts w:ascii="Arial" w:cs="Arial" w:eastAsia="Arial" w:hAnsi="Arial"/>
          <w:b/>
          <w:bCs/>
          <w:color w:val="1a3c5e"/>
          <w:sz w:val="24"/>
          <w:szCs w:val="24"/>
        </w:rPr>
        <w:t xml:space="preserve">First Directions Appointment (FDA)</w:t>
      </w:r>
    </w:p>
    <w:p>
      <w:pPr>
        <w:spacing w:before="80" w:after="80"/>
      </w:pPr>
      <w:r>
        <w:rPr>
          <w:rFonts w:ascii="Arial" w:cs="Arial" w:eastAsia="Arial" w:hAnsi="Arial"/>
          <w:sz w:val="22"/>
          <w:szCs w:val="22"/>
        </w:rPr>
        <w:t xml:space="preserve">The judge sets the timetable — what evidence is needed, what valuations are required, deadlines for disclosure. Typically 3-6 months after Form A is filed.</w:t>
      </w:r>
    </w:p>
    <w:p>
      <w:pPr>
        <w:spacing w:before="220" w:after="100"/>
      </w:pPr>
      <w:r>
        <w:rPr>
          <w:rFonts w:ascii="Arial" w:cs="Arial" w:eastAsia="Arial" w:hAnsi="Arial"/>
          <w:b/>
          <w:bCs/>
          <w:color w:val="1a3c5e"/>
          <w:sz w:val="24"/>
          <w:szCs w:val="24"/>
        </w:rPr>
        <w:t xml:space="preserve">Financial Dispute Resolution (FDR)</w:t>
      </w:r>
    </w:p>
    <w:p>
      <w:pPr>
        <w:spacing w:before="80" w:after="80"/>
      </w:pPr>
      <w:r>
        <w:rPr>
          <w:rFonts w:ascii="Arial" w:cs="Arial" w:eastAsia="Arial" w:hAnsi="Arial"/>
          <w:sz w:val="22"/>
          <w:szCs w:val="22"/>
        </w:rPr>
        <w:t xml:space="preserve">The most important pre-trial hearing. A judge gives a non-binding indication of the likely outcome. This indication is specifically designed to encourage settlement. A significant proportion of cases settle at or immediately after the FDR. If your ex receives an FDR indication that is close to what you have been offering, it often prompts agreement.</w:t>
      </w:r>
    </w:p>
    <w:p>
      <w:pPr>
        <w:spacing w:before="220" w:after="100"/>
      </w:pPr>
      <w:r>
        <w:rPr>
          <w:rFonts w:ascii="Arial" w:cs="Arial" w:eastAsia="Arial" w:hAnsi="Arial"/>
          <w:b/>
          <w:bCs/>
          <w:color w:val="1a3c5e"/>
          <w:sz w:val="24"/>
          <w:szCs w:val="24"/>
        </w:rPr>
        <w:t xml:space="preserve">Final Hearing</w:t>
      </w:r>
    </w:p>
    <w:p>
      <w:pPr>
        <w:spacing w:before="80" w:after="80"/>
      </w:pPr>
      <w:r>
        <w:rPr>
          <w:rFonts w:ascii="Arial" w:cs="Arial" w:eastAsia="Arial" w:hAnsi="Arial"/>
          <w:sz w:val="22"/>
          <w:szCs w:val="22"/>
        </w:rPr>
        <w:t xml:space="preserve">If the FDR does not produce settlement, the case proceeds to a final hearing where both parties give evidence and a judge makes a binding order. This is the most expensive and time-consuming outcome — but it resolves the matter definitively.</w:t>
      </w:r>
    </w:p>
    <w:p>
      <w:pPr>
        <w:pStyle w:val="Heading2"/>
        <w:spacing w:before="300" w:after="140"/>
      </w:pPr>
      <w:r>
        <w:rPr>
          <w:rFonts w:ascii="Arial" w:cs="Arial" w:eastAsia="Arial" w:hAnsi="Arial"/>
          <w:b/>
          <w:bCs/>
          <w:color w:val="2563a8"/>
          <w:sz w:val="28"/>
          <w:szCs w:val="28"/>
        </w:rPr>
        <w:t xml:space="preserve">Costs and the Non-Cooperating Party</w:t>
      </w:r>
    </w:p>
    <w:p>
      <w:pPr>
        <w:spacing w:before="80" w:after="80"/>
      </w:pPr>
      <w:r>
        <w:rPr>
          <w:rFonts w:ascii="Arial" w:cs="Arial" w:eastAsia="Arial" w:hAnsi="Arial"/>
          <w:sz w:val="22"/>
          <w:szCs w:val="22"/>
        </w:rPr>
        <w:t xml:space="preserve">Courts have discretion on costs in financial remedy proceedings. While the default is that each party bears their own costs, courts can make costs orders against a party who has behaved unreasonably — including refusing to engage, making unfounded allegations, or repeatedly rejecting offers that were close to what the court eventually awarded. Documenting offers made and your ex's responses is important for protecting your costs position.</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Non-agreement does not create a permanent deadlock — courts can and do impose settlements</w:t>
      </w:r>
    </w:p>
    <w:p>
      <w:pPr>
        <w:pStyle w:val="ListParagraph"/>
        <w:numPr>
          <w:ilvl w:val="0"/>
          <w:numId w:val="2"/>
        </w:numPr>
        <w:spacing w:before="60" w:after="60"/>
      </w:pPr>
      <w:r>
        <w:rPr>
          <w:rFonts w:ascii="Arial" w:cs="Arial" w:eastAsia="Arial" w:hAnsi="Arial"/>
          <w:sz w:val="22"/>
          <w:szCs w:val="22"/>
        </w:rPr>
        <w:t xml:space="preserve">MIAM attendance is required before court proceedings in most cases</w:t>
      </w:r>
    </w:p>
    <w:p>
      <w:pPr>
        <w:pStyle w:val="ListParagraph"/>
        <w:numPr>
          <w:ilvl w:val="0"/>
          <w:numId w:val="2"/>
        </w:numPr>
        <w:spacing w:before="60" w:after="60"/>
      </w:pPr>
      <w:r>
        <w:rPr>
          <w:rFonts w:ascii="Arial" w:cs="Arial" w:eastAsia="Arial" w:hAnsi="Arial"/>
          <w:sz w:val="22"/>
          <w:szCs w:val="22"/>
        </w:rPr>
        <w:t xml:space="preserve">The FDR hearing resolves a large proportion of contested cases before the final hearing</w:t>
      </w:r>
    </w:p>
    <w:p>
      <w:pPr>
        <w:pStyle w:val="ListParagraph"/>
        <w:numPr>
          <w:ilvl w:val="0"/>
          <w:numId w:val="2"/>
        </w:numPr>
        <w:spacing w:before="60" w:after="60"/>
      </w:pPr>
      <w:r>
        <w:rPr>
          <w:rFonts w:ascii="Arial" w:cs="Arial" w:eastAsia="Arial" w:hAnsi="Arial"/>
          <w:sz w:val="22"/>
          <w:szCs w:val="22"/>
        </w:rPr>
        <w:t xml:space="preserve">A non-cooperating party risks adverse inferences, adverse costs, and an order made in their absence</w:t>
      </w:r>
    </w:p>
    <w:p>
      <w:pPr>
        <w:pStyle w:val="ListParagraph"/>
        <w:numPr>
          <w:ilvl w:val="0"/>
          <w:numId w:val="2"/>
        </w:numPr>
        <w:spacing w:before="60" w:after="60"/>
      </w:pPr>
      <w:r>
        <w:rPr>
          <w:rFonts w:ascii="Arial" w:cs="Arial" w:eastAsia="Arial" w:hAnsi="Arial"/>
          <w:sz w:val="22"/>
          <w:szCs w:val="22"/>
        </w:rPr>
        <w:t xml:space="preserve">Document all offers and responses carefully — they affect costs arguments</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my ex simply refuse to go to court?</w:t>
      </w:r>
    </w:p>
    <w:p>
      <w:pPr>
        <w:spacing w:before="80" w:after="80"/>
      </w:pPr>
      <w:r>
        <w:rPr>
          <w:rFonts w:ascii="Arial" w:cs="Arial" w:eastAsia="Arial" w:hAnsi="Arial"/>
          <w:sz w:val="22"/>
          <w:szCs w:val="22"/>
        </w:rPr>
        <w:t xml:space="preserve">They can refuse to attend — but the court can proceed in their absence and make a binding order. Refusing to attend a court hearing does not stop the process.</w:t>
      </w:r>
    </w:p>
    <w:p>
      <w:pPr>
        <w:spacing w:before="220" w:after="100"/>
      </w:pPr>
      <w:r>
        <w:rPr>
          <w:rFonts w:ascii="Arial" w:cs="Arial" w:eastAsia="Arial" w:hAnsi="Arial"/>
          <w:b/>
          <w:bCs/>
          <w:color w:val="1a3c5e"/>
          <w:sz w:val="24"/>
          <w:szCs w:val="24"/>
        </w:rPr>
        <w:t xml:space="preserve">How long does it take to get to court if my ex refuses to engage?</w:t>
      </w:r>
    </w:p>
    <w:p>
      <w:pPr>
        <w:spacing w:before="80" w:after="80"/>
      </w:pPr>
      <w:r>
        <w:rPr>
          <w:rFonts w:ascii="Arial" w:cs="Arial" w:eastAsia="Arial" w:hAnsi="Arial"/>
          <w:sz w:val="22"/>
          <w:szCs w:val="22"/>
        </w:rPr>
        <w:t xml:space="preserve">From filing Form A to a First Directions Appointment: typically 3-6 months. From filing to a Final Hearing if required: typically 12-24 months.</w:t>
      </w:r>
    </w:p>
    <w:p>
      <w:pPr>
        <w:spacing w:before="220" w:after="100"/>
      </w:pPr>
      <w:r>
        <w:rPr>
          <w:rFonts w:ascii="Arial" w:cs="Arial" w:eastAsia="Arial" w:hAnsi="Arial"/>
          <w:b/>
          <w:bCs/>
          <w:color w:val="1a3c5e"/>
          <w:sz w:val="24"/>
          <w:szCs w:val="24"/>
        </w:rPr>
        <w:t xml:space="preserve">Can I get a without-notice order if my ex is hiding assets?</w:t>
      </w:r>
    </w:p>
    <w:p>
      <w:pPr>
        <w:spacing w:before="80" w:after="80"/>
      </w:pPr>
      <w:r>
        <w:rPr>
          <w:rFonts w:ascii="Arial" w:cs="Arial" w:eastAsia="Arial" w:hAnsi="Arial"/>
          <w:sz w:val="22"/>
          <w:szCs w:val="22"/>
        </w:rPr>
        <w:t xml:space="preserve">Yes — in urgent cases where there is a real risk of asset dissipation, you can apply for a freezing injunction on a without-notice basis. This is a powerful remedy for extreme cases.</w:t>
      </w:r>
    </w:p>
    <w:p>
      <w:pPr>
        <w:spacing w:before="220" w:after="100"/>
      </w:pPr>
      <w:r>
        <w:rPr>
          <w:rFonts w:ascii="Arial" w:cs="Arial" w:eastAsia="Arial" w:hAnsi="Arial"/>
          <w:b/>
          <w:bCs/>
          <w:color w:val="1a3c5e"/>
          <w:sz w:val="24"/>
          <w:szCs w:val="24"/>
        </w:rPr>
        <w:t xml:space="preserve">What if my ex agrees a settlement verbally but then refuses to sign the consent order?</w:t>
      </w:r>
    </w:p>
    <w:p>
      <w:pPr>
        <w:spacing w:before="80" w:after="80"/>
      </w:pPr>
      <w:r>
        <w:rPr>
          <w:rFonts w:ascii="Arial" w:cs="Arial" w:eastAsia="Arial" w:hAnsi="Arial"/>
          <w:sz w:val="22"/>
          <w:szCs w:val="22"/>
        </w:rPr>
        <w:t xml:space="preserve">A verbal or even written settlement is not legally binding until approved by a court as a consent order. If your ex refuses to sign, you may need to proceed through court to get a binding order. Take legal advice immediately.</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Can I Reopen a Divorce Settlement UK? When It Is and Is Not Possible</w:t>
      </w:r>
    </w:p>
    <w:p>
      <w:pPr>
        <w:spacing w:before="80" w:after="80"/>
      </w:pPr>
      <w:r>
        <w:rPr>
          <w:rFonts w:ascii="Arial" w:cs="Arial" w:eastAsia="Arial" w:hAnsi="Arial"/>
          <w:sz w:val="22"/>
          <w:szCs w:val="22"/>
        </w:rPr>
        <w:t xml:space="preserve">Can I reopen a divorce settlement UK? In most circumstances, once a court has approved your consent order or made a Financial Remedy Order, it is very difficult to change. English and Welsh law places a high value on finality — courts and parties alike need to be able to rely on the certainty that a settled financial dispute remains settled. However, there are specific, limited grounds on which a consent order can be set aside or varied. Understanding exactly when reopening is possible — and when it is not — is essential before investing in expensive litigation.</w:t>
      </w:r>
    </w:p>
    <w:p>
      <w:pPr>
        <w:pStyle w:val="Heading2"/>
        <w:spacing w:before="300" w:after="140"/>
      </w:pPr>
      <w:r>
        <w:rPr>
          <w:rFonts w:ascii="Arial" w:cs="Arial" w:eastAsia="Arial" w:hAnsi="Arial"/>
          <w:b/>
          <w:bCs/>
          <w:color w:val="2563a8"/>
          <w:sz w:val="28"/>
          <w:szCs w:val="28"/>
        </w:rPr>
        <w:t xml:space="preserve">The General Rule: Finality Applies</w:t>
      </w:r>
    </w:p>
    <w:p>
      <w:pPr>
        <w:spacing w:before="80" w:after="80"/>
      </w:pPr>
      <w:r>
        <w:rPr>
          <w:rFonts w:ascii="Arial" w:cs="Arial" w:eastAsia="Arial" w:hAnsi="Arial"/>
          <w:sz w:val="22"/>
          <w:szCs w:val="22"/>
        </w:rPr>
        <w:t xml:space="preserve">Once a court-approved consent order is in place, it creates legal certainty for both parties. Courts are strongly reluctant to unravel settled financial arrangements. The risks and costs of reopening old settlements are high, and courts take seriously the principle that parties should be able to rely on binding orders.</w:t>
      </w:r>
    </w:p>
    <w:p>
      <w:pPr>
        <w:pStyle w:val="Heading2"/>
        <w:spacing w:before="300" w:after="140"/>
      </w:pPr>
      <w:r>
        <w:rPr>
          <w:rFonts w:ascii="Arial" w:cs="Arial" w:eastAsia="Arial" w:hAnsi="Arial"/>
          <w:b/>
          <w:bCs/>
          <w:color w:val="2563a8"/>
          <w:sz w:val="28"/>
          <w:szCs w:val="28"/>
        </w:rPr>
        <w:t xml:space="preserve">Grounds for Setting Aside a Consent Order</w:t>
      </w:r>
    </w:p>
    <w:p>
      <w:pPr>
        <w:spacing w:before="220" w:after="100"/>
      </w:pPr>
      <w:r>
        <w:rPr>
          <w:rFonts w:ascii="Arial" w:cs="Arial" w:eastAsia="Arial" w:hAnsi="Arial"/>
          <w:b/>
          <w:bCs/>
          <w:color w:val="1a3c5e"/>
          <w:sz w:val="24"/>
          <w:szCs w:val="24"/>
        </w:rPr>
        <w:t xml:space="preserve">1. Fraud and material non-disclosure</w:t>
      </w:r>
    </w:p>
    <w:p>
      <w:pPr>
        <w:spacing w:before="80" w:after="80"/>
      </w:pPr>
      <w:r>
        <w:rPr>
          <w:rFonts w:ascii="Arial" w:cs="Arial" w:eastAsia="Arial" w:hAnsi="Arial"/>
          <w:sz w:val="22"/>
          <w:szCs w:val="22"/>
        </w:rPr>
        <w:t xml:space="preserve">The most common and strongest ground. If your ex failed to disclose a material asset — significant savings, a business interest, a property — that would have affected the settlement if known, you can apply to set aside the order. Courts have set aside orders many years after they were made where deliberate concealment can be proven. The discovery of the non-disclosure typically starts the clock on your application.</w:t>
      </w:r>
    </w:p>
    <w:p>
      <w:pPr>
        <w:spacing w:before="220" w:after="100"/>
      </w:pPr>
      <w:r>
        <w:rPr>
          <w:rFonts w:ascii="Arial" w:cs="Arial" w:eastAsia="Arial" w:hAnsi="Arial"/>
          <w:b/>
          <w:bCs/>
          <w:color w:val="1a3c5e"/>
          <w:sz w:val="24"/>
          <w:szCs w:val="24"/>
        </w:rPr>
        <w:t xml:space="preserve">2. Duress or undue influence</w:t>
      </w:r>
    </w:p>
    <w:p>
      <w:pPr>
        <w:spacing w:before="80" w:after="80"/>
      </w:pPr>
      <w:r>
        <w:rPr>
          <w:rFonts w:ascii="Arial" w:cs="Arial" w:eastAsia="Arial" w:hAnsi="Arial"/>
          <w:sz w:val="22"/>
          <w:szCs w:val="22"/>
        </w:rPr>
        <w:t xml:space="preserve">If you were coerced into signing the agreement — under genuine threats or pressure that prevented free consent — the order may be set aside. Mere reluctance or regret about agreeing does not constitute duress.</w:t>
      </w:r>
    </w:p>
    <w:p>
      <w:pPr>
        <w:spacing w:before="220" w:after="100"/>
      </w:pPr>
      <w:r>
        <w:rPr>
          <w:rFonts w:ascii="Arial" w:cs="Arial" w:eastAsia="Arial" w:hAnsi="Arial"/>
          <w:b/>
          <w:bCs/>
          <w:color w:val="1a3c5e"/>
          <w:sz w:val="24"/>
          <w:szCs w:val="24"/>
        </w:rPr>
        <w:t xml:space="preserve">3. Fundamental mistake</w:t>
      </w:r>
    </w:p>
    <w:p>
      <w:pPr>
        <w:spacing w:before="80" w:after="80"/>
      </w:pPr>
      <w:r>
        <w:rPr>
          <w:rFonts w:ascii="Arial" w:cs="Arial" w:eastAsia="Arial" w:hAnsi="Arial"/>
          <w:sz w:val="22"/>
          <w:szCs w:val="22"/>
        </w:rPr>
        <w:t xml:space="preserve">Where both parties were operating under a fundamental and shared mistake about a material fact — for example, a property believed to be worth a certain value that turned out to be radically different — there may be grounds to revisit. Simple valuation differences are not usually enough.</w:t>
      </w:r>
    </w:p>
    <w:p>
      <w:pPr>
        <w:spacing w:before="220" w:after="100"/>
      </w:pPr>
      <w:r>
        <w:rPr>
          <w:rFonts w:ascii="Arial" w:cs="Arial" w:eastAsia="Arial" w:hAnsi="Arial"/>
          <w:b/>
          <w:bCs/>
          <w:color w:val="1a3c5e"/>
          <w:sz w:val="24"/>
          <w:szCs w:val="24"/>
        </w:rPr>
        <w:t xml:space="preserve">4. Barder events</w:t>
      </w:r>
    </w:p>
    <w:p>
      <w:pPr>
        <w:spacing w:before="80" w:after="80"/>
      </w:pPr>
      <w:r>
        <w:rPr>
          <w:rFonts w:ascii="Arial" w:cs="Arial" w:eastAsia="Arial" w:hAnsi="Arial"/>
          <w:sz w:val="22"/>
          <w:szCs w:val="22"/>
        </w:rPr>
        <w:t xml:space="preserve">A 'Barder event' (from Barder v Barder [1987]) is an unforeseen supervening event that fundamentally undermines the basis on which the order was made, making it unjust to hold the parties to it. These are extremely rare. The death of a party shortly after the order, or the complete destruction of the primary asset, are examples. Economic changes, business failures, or normal life changes are not Barder events.</w:t>
      </w:r>
    </w:p>
    <w:p>
      <w:pPr>
        <w:pStyle w:val="Heading2"/>
        <w:spacing w:before="300" w:after="140"/>
      </w:pPr>
      <w:r>
        <w:rPr>
          <w:rFonts w:ascii="Arial" w:cs="Arial" w:eastAsia="Arial" w:hAnsi="Arial"/>
          <w:b/>
          <w:bCs/>
          <w:color w:val="2563a8"/>
          <w:sz w:val="28"/>
          <w:szCs w:val="28"/>
        </w:rPr>
        <w:t xml:space="preserve">What Does NOT Justify Reopening a Settlement</w:t>
      </w:r>
    </w:p>
    <w:p>
      <w:pPr>
        <w:pStyle w:val="ListParagraph"/>
        <w:numPr>
          <w:ilvl w:val="0"/>
          <w:numId w:val="2"/>
        </w:numPr>
        <w:spacing w:before="60" w:after="60"/>
      </w:pPr>
      <w:r>
        <w:rPr>
          <w:rFonts w:ascii="Arial" w:cs="Arial" w:eastAsia="Arial" w:hAnsi="Arial"/>
          <w:sz w:val="22"/>
          <w:szCs w:val="22"/>
        </w:rPr>
        <w:t xml:space="preserve">Simply changing your mind or regretting the agreement</w:t>
      </w:r>
    </w:p>
    <w:p>
      <w:pPr>
        <w:pStyle w:val="ListParagraph"/>
        <w:numPr>
          <w:ilvl w:val="0"/>
          <w:numId w:val="2"/>
        </w:numPr>
        <w:spacing w:before="60" w:after="60"/>
      </w:pPr>
      <w:r>
        <w:rPr>
          <w:rFonts w:ascii="Arial" w:cs="Arial" w:eastAsia="Arial" w:hAnsi="Arial"/>
          <w:sz w:val="22"/>
          <w:szCs w:val="22"/>
        </w:rPr>
        <w:t xml:space="preserve">Your ex has done financially better since the order was made</w:t>
      </w:r>
    </w:p>
    <w:p>
      <w:pPr>
        <w:pStyle w:val="ListParagraph"/>
        <w:numPr>
          <w:ilvl w:val="0"/>
          <w:numId w:val="2"/>
        </w:numPr>
        <w:spacing w:before="60" w:after="60"/>
      </w:pPr>
      <w:r>
        <w:rPr>
          <w:rFonts w:ascii="Arial" w:cs="Arial" w:eastAsia="Arial" w:hAnsi="Arial"/>
          <w:sz w:val="22"/>
          <w:szCs w:val="22"/>
        </w:rPr>
        <w:t xml:space="preserve">You feel the settlement was unfair in retrospect</w:t>
      </w:r>
    </w:p>
    <w:p>
      <w:pPr>
        <w:pStyle w:val="ListParagraph"/>
        <w:numPr>
          <w:ilvl w:val="0"/>
          <w:numId w:val="2"/>
        </w:numPr>
        <w:spacing w:before="60" w:after="60"/>
      </w:pPr>
      <w:r>
        <w:rPr>
          <w:rFonts w:ascii="Arial" w:cs="Arial" w:eastAsia="Arial" w:hAnsi="Arial"/>
          <w:sz w:val="22"/>
          <w:szCs w:val="22"/>
        </w:rPr>
        <w:t xml:space="preserve">There has been a change in economic conditions</w:t>
      </w:r>
    </w:p>
    <w:p>
      <w:pPr>
        <w:pStyle w:val="ListParagraph"/>
        <w:numPr>
          <w:ilvl w:val="0"/>
          <w:numId w:val="2"/>
        </w:numPr>
        <w:spacing w:before="60" w:after="60"/>
      </w:pPr>
      <w:r>
        <w:rPr>
          <w:rFonts w:ascii="Arial" w:cs="Arial" w:eastAsia="Arial" w:hAnsi="Arial"/>
          <w:sz w:val="22"/>
          <w:szCs w:val="22"/>
        </w:rPr>
        <w:t xml:space="preserve">You negotiated badly or had poor legal advice</w:t>
      </w:r>
    </w:p>
    <w:p>
      <w:pPr>
        <w:pStyle w:val="Heading2"/>
        <w:spacing w:before="300" w:after="140"/>
      </w:pPr>
      <w:r>
        <w:rPr>
          <w:rFonts w:ascii="Arial" w:cs="Arial" w:eastAsia="Arial" w:hAnsi="Arial"/>
          <w:b/>
          <w:bCs/>
          <w:color w:val="2563a8"/>
          <w:sz w:val="28"/>
          <w:szCs w:val="28"/>
        </w:rPr>
        <w:t xml:space="preserve">Varying Rather Than Setting Aside</w:t>
      </w:r>
    </w:p>
    <w:p>
      <w:pPr>
        <w:spacing w:before="80" w:after="80"/>
      </w:pPr>
      <w:r>
        <w:rPr>
          <w:rFonts w:ascii="Arial" w:cs="Arial" w:eastAsia="Arial" w:hAnsi="Arial"/>
          <w:sz w:val="22"/>
          <w:szCs w:val="22"/>
        </w:rPr>
        <w:t xml:space="preserve">Some orders can be varied without setting aside the whole settlement:</w:t>
      </w:r>
    </w:p>
    <w:p>
      <w:pPr>
        <w:pStyle w:val="ListParagraph"/>
        <w:numPr>
          <w:ilvl w:val="0"/>
          <w:numId w:val="2"/>
        </w:numPr>
        <w:spacing w:before="60" w:after="60"/>
      </w:pPr>
      <w:r>
        <w:rPr>
          <w:rFonts w:ascii="Arial" w:cs="Arial" w:eastAsia="Arial" w:hAnsi="Arial"/>
          <w:sz w:val="22"/>
          <w:szCs w:val="22"/>
        </w:rPr>
        <w:t xml:space="preserve">Spousal maintenance orders can be varied up or down on a material change in circumstances</w:t>
      </w:r>
    </w:p>
    <w:p>
      <w:pPr>
        <w:pStyle w:val="ListParagraph"/>
        <w:numPr>
          <w:ilvl w:val="0"/>
          <w:numId w:val="2"/>
        </w:numPr>
        <w:spacing w:before="60" w:after="60"/>
      </w:pPr>
      <w:r>
        <w:rPr>
          <w:rFonts w:ascii="Arial" w:cs="Arial" w:eastAsia="Arial" w:hAnsi="Arial"/>
          <w:sz w:val="22"/>
          <w:szCs w:val="22"/>
        </w:rPr>
        <w:t xml:space="preserve">Lump sum orders that are unpaid can be enforced — with interest</w:t>
      </w:r>
    </w:p>
    <w:p>
      <w:pPr>
        <w:pStyle w:val="ListParagraph"/>
        <w:numPr>
          <w:ilvl w:val="0"/>
          <w:numId w:val="2"/>
        </w:numPr>
        <w:spacing w:before="60" w:after="60"/>
      </w:pPr>
      <w:r>
        <w:rPr>
          <w:rFonts w:ascii="Arial" w:cs="Arial" w:eastAsia="Arial" w:hAnsi="Arial"/>
          <w:sz w:val="22"/>
          <w:szCs w:val="22"/>
        </w:rPr>
        <w:t xml:space="preserve">Property adjustment orders that have not been implemented can be enforced</w:t>
      </w:r>
    </w:p>
    <w:p>
      <w:pPr>
        <w:spacing w:before="80" w:after="80"/>
      </w:pPr>
      <w:r>
        <w:rPr>
          <w:rFonts w:ascii="Arial" w:cs="Arial" w:eastAsia="Arial" w:hAnsi="Arial"/>
          <w:sz w:val="22"/>
          <w:szCs w:val="22"/>
        </w:rPr>
        <w:t xml:space="preserve">Variation is different from setting aside. Variation adjusts a continuing obligation; setting aside overturns the order entirely.</w:t>
      </w:r>
    </w:p>
    <w:p>
      <w:pPr>
        <w:pStyle w:val="Heading2"/>
        <w:spacing w:before="300" w:after="140"/>
      </w:pPr>
      <w:r>
        <w:rPr>
          <w:rFonts w:ascii="Arial" w:cs="Arial" w:eastAsia="Arial" w:hAnsi="Arial"/>
          <w:b/>
          <w:bCs/>
          <w:color w:val="2563a8"/>
          <w:sz w:val="28"/>
          <w:szCs w:val="28"/>
        </w:rPr>
        <w:t xml:space="preserve">Acting Promptly When Grounds Exist</w:t>
      </w:r>
    </w:p>
    <w:p>
      <w:pPr>
        <w:spacing w:before="80" w:after="80"/>
      </w:pPr>
      <w:r>
        <w:rPr>
          <w:rFonts w:ascii="Arial" w:cs="Arial" w:eastAsia="Arial" w:hAnsi="Arial"/>
          <w:sz w:val="22"/>
          <w:szCs w:val="22"/>
        </w:rPr>
        <w:t xml:space="preserve">If you believe you have genuine grounds to set aside an order, act quickly. Delay is a factor courts weigh heavily against an applicant. The longer you wait after discovering the grounds, the harder it becomes to succeed, and the less sympathetic courts will be.</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Finality is the general rule — courts are very reluctant to reopen settled financial disputes</w:t>
      </w:r>
    </w:p>
    <w:p>
      <w:pPr>
        <w:pStyle w:val="ListParagraph"/>
        <w:numPr>
          <w:ilvl w:val="0"/>
          <w:numId w:val="2"/>
        </w:numPr>
        <w:spacing w:before="60" w:after="60"/>
      </w:pPr>
      <w:r>
        <w:rPr>
          <w:rFonts w:ascii="Arial" w:cs="Arial" w:eastAsia="Arial" w:hAnsi="Arial"/>
          <w:sz w:val="22"/>
          <w:szCs w:val="22"/>
        </w:rPr>
        <w:t xml:space="preserve">The main grounds for setting aside are fraud/non-disclosure, duress, fundamental mistake, and Barder events</w:t>
      </w:r>
    </w:p>
    <w:p>
      <w:pPr>
        <w:pStyle w:val="ListParagraph"/>
        <w:numPr>
          <w:ilvl w:val="0"/>
          <w:numId w:val="2"/>
        </w:numPr>
        <w:spacing w:before="60" w:after="60"/>
      </w:pPr>
      <w:r>
        <w:rPr>
          <w:rFonts w:ascii="Arial" w:cs="Arial" w:eastAsia="Arial" w:hAnsi="Arial"/>
          <w:sz w:val="22"/>
          <w:szCs w:val="22"/>
        </w:rPr>
        <w:t xml:space="preserve">Regret, changed circumstances, or poor negotiating outcomes are not grounds for reopening</w:t>
      </w:r>
    </w:p>
    <w:p>
      <w:pPr>
        <w:pStyle w:val="ListParagraph"/>
        <w:numPr>
          <w:ilvl w:val="0"/>
          <w:numId w:val="2"/>
        </w:numPr>
        <w:spacing w:before="60" w:after="60"/>
      </w:pPr>
      <w:r>
        <w:rPr>
          <w:rFonts w:ascii="Arial" w:cs="Arial" w:eastAsia="Arial" w:hAnsi="Arial"/>
          <w:sz w:val="22"/>
          <w:szCs w:val="22"/>
        </w:rPr>
        <w:t xml:space="preserve">Maintenance orders can be varied without setting aside the whole settlement</w:t>
      </w:r>
    </w:p>
    <w:p>
      <w:pPr>
        <w:pStyle w:val="ListParagraph"/>
        <w:numPr>
          <w:ilvl w:val="0"/>
          <w:numId w:val="2"/>
        </w:numPr>
        <w:spacing w:before="60" w:after="60"/>
      </w:pPr>
      <w:r>
        <w:rPr>
          <w:rFonts w:ascii="Arial" w:cs="Arial" w:eastAsia="Arial" w:hAnsi="Arial"/>
          <w:sz w:val="22"/>
          <w:szCs w:val="22"/>
        </w:rPr>
        <w:t xml:space="preserve">Act promptly if you have genuine grounds — delay counts against you</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How long do I have to apply to set aside a consent order?</w:t>
      </w:r>
    </w:p>
    <w:p>
      <w:pPr>
        <w:spacing w:before="80" w:after="80"/>
      </w:pPr>
      <w:r>
        <w:rPr>
          <w:rFonts w:ascii="Arial" w:cs="Arial" w:eastAsia="Arial" w:hAnsi="Arial"/>
          <w:sz w:val="22"/>
          <w:szCs w:val="22"/>
        </w:rPr>
        <w:t xml:space="preserve">There is no absolute time limit, but you must apply promptly once the grounds become apparent. Courts increasingly refuse late applications. In non-disclosure cases, the clock typically starts when you discover the concealed asset.</w:t>
      </w:r>
    </w:p>
    <w:p>
      <w:pPr>
        <w:spacing w:before="220" w:after="100"/>
      </w:pPr>
      <w:r>
        <w:rPr>
          <w:rFonts w:ascii="Arial" w:cs="Arial" w:eastAsia="Arial" w:hAnsi="Arial"/>
          <w:b/>
          <w:bCs/>
          <w:color w:val="1a3c5e"/>
          <w:sz w:val="24"/>
          <w:szCs w:val="24"/>
        </w:rPr>
        <w:t xml:space="preserve">If my ex won the lottery after our settlement, can I claim a share?</w:t>
      </w:r>
    </w:p>
    <w:p>
      <w:pPr>
        <w:spacing w:before="80" w:after="80"/>
      </w:pPr>
      <w:r>
        <w:rPr>
          <w:rFonts w:ascii="Arial" w:cs="Arial" w:eastAsia="Arial" w:hAnsi="Arial"/>
          <w:sz w:val="22"/>
          <w:szCs w:val="22"/>
        </w:rPr>
        <w:t xml:space="preserve">No — unless it can be argued as a Barder event, which lottery wins generally are not. If a clean break order was made, all capital claims are closed. If there was no clean break, there may be limited grounds, but success would be very unlikely.</w:t>
      </w:r>
    </w:p>
    <w:p>
      <w:pPr>
        <w:spacing w:before="220" w:after="100"/>
      </w:pPr>
      <w:r>
        <w:rPr>
          <w:rFonts w:ascii="Arial" w:cs="Arial" w:eastAsia="Arial" w:hAnsi="Arial"/>
          <w:b/>
          <w:bCs/>
          <w:color w:val="1a3c5e"/>
          <w:sz w:val="24"/>
          <w:szCs w:val="24"/>
        </w:rPr>
        <w:t xml:space="preserve">What if the pension sharing order has not been implemented?</w:t>
      </w:r>
    </w:p>
    <w:p>
      <w:pPr>
        <w:spacing w:before="80" w:after="80"/>
      </w:pPr>
      <w:r>
        <w:rPr>
          <w:rFonts w:ascii="Arial" w:cs="Arial" w:eastAsia="Arial" w:hAnsi="Arial"/>
          <w:sz w:val="22"/>
          <w:szCs w:val="22"/>
        </w:rPr>
        <w:t xml:space="preserve">An approved pension sharing order is binding on the pension provider. If it has not been implemented, you can seek enforcement through the court — this is different from reopening or setting aside the order.</w:t>
      </w:r>
    </w:p>
    <w:p>
      <w:pPr>
        <w:spacing w:before="220" w:after="100"/>
      </w:pPr>
      <w:r>
        <w:rPr>
          <w:rFonts w:ascii="Arial" w:cs="Arial" w:eastAsia="Arial" w:hAnsi="Arial"/>
          <w:b/>
          <w:bCs/>
          <w:color w:val="1a3c5e"/>
          <w:sz w:val="24"/>
          <w:szCs w:val="24"/>
        </w:rPr>
        <w:t xml:space="preserve">Can I vary a clean break order?</w:t>
      </w:r>
    </w:p>
    <w:p>
      <w:pPr>
        <w:spacing w:before="80" w:after="80"/>
      </w:pPr>
      <w:r>
        <w:rPr>
          <w:rFonts w:ascii="Arial" w:cs="Arial" w:eastAsia="Arial" w:hAnsi="Arial"/>
          <w:sz w:val="22"/>
          <w:szCs w:val="22"/>
        </w:rPr>
        <w:t xml:space="preserve">A clean break order, by definition, ends all financial claims permanently. It cannot be varied because there is no ongoing obligation to vary. The only remedy is to apply to set it aside on one of the limited grounds above.</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How Long After Divorce Can Financial Claims Be Made UK? The Legal Position</w:t>
      </w:r>
    </w:p>
    <w:p>
      <w:pPr>
        <w:spacing w:before="80" w:after="80"/>
      </w:pPr>
      <w:r>
        <w:rPr>
          <w:rFonts w:ascii="Arial" w:cs="Arial" w:eastAsia="Arial" w:hAnsi="Arial"/>
          <w:sz w:val="22"/>
          <w:szCs w:val="22"/>
        </w:rPr>
        <w:t xml:space="preserve">How long after divorce can financial claims be made UK? This is one of the most important questions in English divorce law — and the answer may surprise you. In England and Wales, there is no statutory time limit on financial claims after divorce. Without a court-approved consent order in place, your ex-spouse can potentially make financial claims against you years or even decades after the marriage ended. Understanding this is essential to protecting your financial future.</w:t>
      </w:r>
    </w:p>
    <w:p>
      <w:pPr>
        <w:pStyle w:val="Heading2"/>
        <w:spacing w:before="300" w:after="140"/>
      </w:pPr>
      <w:r>
        <w:rPr>
          <w:rFonts w:ascii="Arial" w:cs="Arial" w:eastAsia="Arial" w:hAnsi="Arial"/>
          <w:b/>
          <w:bCs/>
          <w:color w:val="2563a8"/>
          <w:sz w:val="28"/>
          <w:szCs w:val="28"/>
        </w:rPr>
        <w:t xml:space="preserve">No Time Limit: The Starting Position</w:t>
      </w:r>
    </w:p>
    <w:p>
      <w:pPr>
        <w:spacing w:before="80" w:after="80"/>
      </w:pPr>
      <w:r>
        <w:rPr>
          <w:rFonts w:ascii="Arial" w:cs="Arial" w:eastAsia="Arial" w:hAnsi="Arial"/>
          <w:sz w:val="22"/>
          <w:szCs w:val="22"/>
        </w:rPr>
        <w:t xml:space="preserve">Unlike many other legal claims, financial remedy claims in England and Wales do not expire after a set period. The right to apply to court for financial orders exists as long as neither party has remarried and no clean break order has been made. Divorce itself does not extinguish financial claims — it merely opens the door to making them.</w:t>
      </w:r>
    </w:p>
    <w:p>
      <w:pPr>
        <w:spacing w:before="80" w:after="80"/>
      </w:pPr>
      <w:r>
        <w:rPr>
          <w:rFonts w:ascii="Arial" w:cs="Arial" w:eastAsia="Arial" w:hAnsi="Arial"/>
          <w:sz w:val="22"/>
          <w:szCs w:val="22"/>
        </w:rPr>
        <w:t xml:space="preserve">The case of Wyatt v Vince [2015] is the definitive illustration. Kathleen Wyatt brought financial claims against her ex-husband Dale Vince more than 20 years after their divorce. He had since built a multi-million-pound green energy company. The Supreme Court confirmed she had standing to bring the claim. The case eventually settled, but the legal costs were substantial — and the principle was established that claims can be made very many years later.</w:t>
      </w:r>
    </w:p>
    <w:p>
      <w:pPr>
        <w:pStyle w:val="Heading2"/>
        <w:spacing w:before="300" w:after="140"/>
      </w:pPr>
      <w:r>
        <w:rPr>
          <w:rFonts w:ascii="Arial" w:cs="Arial" w:eastAsia="Arial" w:hAnsi="Arial"/>
          <w:b/>
          <w:bCs/>
          <w:color w:val="2563a8"/>
          <w:sz w:val="28"/>
          <w:szCs w:val="28"/>
        </w:rPr>
        <w:t xml:space="preserve">What Can Be Claimed After Divorce?</w:t>
      </w:r>
    </w:p>
    <w:p>
      <w:pPr>
        <w:spacing w:before="80" w:after="80"/>
      </w:pPr>
      <w:r>
        <w:rPr>
          <w:rFonts w:ascii="Arial" w:cs="Arial" w:eastAsia="Arial" w:hAnsi="Arial"/>
          <w:sz w:val="22"/>
          <w:szCs w:val="22"/>
        </w:rPr>
        <w:t xml:space="preserve">Without a consent order or clean break, a former spouse can theoretically claim:</w:t>
      </w:r>
    </w:p>
    <w:p>
      <w:pPr>
        <w:pStyle w:val="ListParagraph"/>
        <w:numPr>
          <w:ilvl w:val="0"/>
          <w:numId w:val="2"/>
        </w:numPr>
        <w:spacing w:before="60" w:after="60"/>
      </w:pPr>
      <w:r>
        <w:rPr>
          <w:rFonts w:ascii="Arial" w:cs="Arial" w:eastAsia="Arial" w:hAnsi="Arial"/>
          <w:sz w:val="22"/>
          <w:szCs w:val="22"/>
        </w:rPr>
        <w:t xml:space="preserve">A share of property (even property acquired after the marriage ended)</w:t>
      </w:r>
    </w:p>
    <w:p>
      <w:pPr>
        <w:pStyle w:val="ListParagraph"/>
        <w:numPr>
          <w:ilvl w:val="0"/>
          <w:numId w:val="2"/>
        </w:numPr>
        <w:spacing w:before="60" w:after="60"/>
      </w:pPr>
      <w:r>
        <w:rPr>
          <w:rFonts w:ascii="Arial" w:cs="Arial" w:eastAsia="Arial" w:hAnsi="Arial"/>
          <w:sz w:val="22"/>
          <w:szCs w:val="22"/>
        </w:rPr>
        <w:t xml:space="preserve">A share of savings and investments accumulated since divorce</w:t>
      </w:r>
    </w:p>
    <w:p>
      <w:pPr>
        <w:pStyle w:val="ListParagraph"/>
        <w:numPr>
          <w:ilvl w:val="0"/>
          <w:numId w:val="2"/>
        </w:numPr>
        <w:spacing w:before="60" w:after="60"/>
      </w:pPr>
      <w:r>
        <w:rPr>
          <w:rFonts w:ascii="Arial" w:cs="Arial" w:eastAsia="Arial" w:hAnsi="Arial"/>
          <w:sz w:val="22"/>
          <w:szCs w:val="22"/>
        </w:rPr>
        <w:t xml:space="preserve">Maintenance (spousal periodical payments)</w:t>
      </w:r>
    </w:p>
    <w:p>
      <w:pPr>
        <w:pStyle w:val="ListParagraph"/>
        <w:numPr>
          <w:ilvl w:val="0"/>
          <w:numId w:val="2"/>
        </w:numPr>
        <w:spacing w:before="60" w:after="60"/>
      </w:pPr>
      <w:r>
        <w:rPr>
          <w:rFonts w:ascii="Arial" w:cs="Arial" w:eastAsia="Arial" w:hAnsi="Arial"/>
          <w:sz w:val="22"/>
          <w:szCs w:val="22"/>
        </w:rPr>
        <w:t xml:space="preserve">A share of pension accrued since the marriage ended</w:t>
      </w:r>
    </w:p>
    <w:p>
      <w:pPr>
        <w:spacing w:before="80" w:after="80"/>
      </w:pPr>
      <w:r>
        <w:rPr>
          <w:rFonts w:ascii="Arial" w:cs="Arial" w:eastAsia="Arial" w:hAnsi="Arial"/>
          <w:sz w:val="22"/>
          <w:szCs w:val="22"/>
        </w:rPr>
        <w:t xml:space="preserve">The later the claim, the more courts discount it based on delay — but delay alone does not bar a claim.</w:t>
      </w:r>
    </w:p>
    <w:p>
      <w:pPr>
        <w:pStyle w:val="Heading2"/>
        <w:spacing w:before="300" w:after="140"/>
      </w:pPr>
      <w:r>
        <w:rPr>
          <w:rFonts w:ascii="Arial" w:cs="Arial" w:eastAsia="Arial" w:hAnsi="Arial"/>
          <w:b/>
          <w:bCs/>
          <w:color w:val="2563a8"/>
          <w:sz w:val="28"/>
          <w:szCs w:val="28"/>
        </w:rPr>
        <w:t xml:space="preserve">How Courts Treat Delay</w:t>
      </w:r>
    </w:p>
    <w:p>
      <w:pPr>
        <w:spacing w:before="80" w:after="80"/>
      </w:pPr>
      <w:r>
        <w:rPr>
          <w:rFonts w:ascii="Arial" w:cs="Arial" w:eastAsia="Arial" w:hAnsi="Arial"/>
          <w:sz w:val="22"/>
          <w:szCs w:val="22"/>
        </w:rPr>
        <w:t xml:space="preserve">While delay does not extinguish a claim, courts treat it as a significant factor. The longer the delay:</w:t>
      </w:r>
    </w:p>
    <w:p>
      <w:pPr>
        <w:pStyle w:val="ListParagraph"/>
        <w:numPr>
          <w:ilvl w:val="0"/>
          <w:numId w:val="2"/>
        </w:numPr>
        <w:spacing w:before="60" w:after="60"/>
      </w:pPr>
      <w:r>
        <w:rPr>
          <w:rFonts w:ascii="Arial" w:cs="Arial" w:eastAsia="Arial" w:hAnsi="Arial"/>
          <w:sz w:val="22"/>
          <w:szCs w:val="22"/>
        </w:rPr>
        <w:t xml:space="preserve">The more the court will focus on the current financial needs of the applicant rather than contributions during the marriage</w:t>
      </w:r>
    </w:p>
    <w:p>
      <w:pPr>
        <w:pStyle w:val="ListParagraph"/>
        <w:numPr>
          <w:ilvl w:val="0"/>
          <w:numId w:val="2"/>
        </w:numPr>
        <w:spacing w:before="60" w:after="60"/>
      </w:pPr>
      <w:r>
        <w:rPr>
          <w:rFonts w:ascii="Arial" w:cs="Arial" w:eastAsia="Arial" w:hAnsi="Arial"/>
          <w:sz w:val="22"/>
          <w:szCs w:val="22"/>
        </w:rPr>
        <w:t xml:space="preserve">The harder it is to argue for a significant share of assets built up since divorce</w:t>
      </w:r>
    </w:p>
    <w:p>
      <w:pPr>
        <w:pStyle w:val="ListParagraph"/>
        <w:numPr>
          <w:ilvl w:val="0"/>
          <w:numId w:val="2"/>
        </w:numPr>
        <w:spacing w:before="60" w:after="60"/>
      </w:pPr>
      <w:r>
        <w:rPr>
          <w:rFonts w:ascii="Arial" w:cs="Arial" w:eastAsia="Arial" w:hAnsi="Arial"/>
          <w:sz w:val="22"/>
          <w:szCs w:val="22"/>
        </w:rPr>
        <w:t xml:space="preserve">The more likely the court is to limit any award to meeting basic needs only</w:t>
      </w:r>
    </w:p>
    <w:p>
      <w:pPr>
        <w:spacing w:before="80" w:after="80"/>
      </w:pPr>
      <w:r>
        <w:rPr>
          <w:rFonts w:ascii="Arial" w:cs="Arial" w:eastAsia="Arial" w:hAnsi="Arial"/>
          <w:sz w:val="22"/>
          <w:szCs w:val="22"/>
        </w:rPr>
        <w:t xml:space="preserve">However, a very wealthy ex-spouse may still face a successful claim even after many years, particularly where the applicant can demonstrate genuine financial need.</w:t>
      </w:r>
    </w:p>
    <w:p>
      <w:pPr>
        <w:pStyle w:val="Heading2"/>
        <w:spacing w:before="300" w:after="140"/>
      </w:pPr>
      <w:r>
        <w:rPr>
          <w:rFonts w:ascii="Arial" w:cs="Arial" w:eastAsia="Arial" w:hAnsi="Arial"/>
          <w:b/>
          <w:bCs/>
          <w:color w:val="2563a8"/>
          <w:sz w:val="28"/>
          <w:szCs w:val="28"/>
        </w:rPr>
        <w:t xml:space="preserve">The Only Effective Protection: A Clean Break Consent Order</w:t>
      </w:r>
    </w:p>
    <w:p>
      <w:pPr>
        <w:spacing w:before="80" w:after="80"/>
      </w:pPr>
      <w:r>
        <w:rPr>
          <w:rFonts w:ascii="Arial" w:cs="Arial" w:eastAsia="Arial" w:hAnsi="Arial"/>
          <w:sz w:val="22"/>
          <w:szCs w:val="22"/>
        </w:rPr>
        <w:t xml:space="preserve">The only way to permanently extinguish financial claims is to obtain a court-approved consent order that includes a clean break clause. This dismisses all financial claims by both parties — permanently. Once made, a clean break order cannot be varied (only set aside on very limited grounds). It provides the certainty and protection that divorce alone does not.</w:t>
      </w:r>
    </w:p>
    <w:p>
      <w:pPr>
        <w:spacing w:before="80" w:after="80"/>
      </w:pPr>
      <w:r>
        <w:rPr>
          <w:rFonts w:ascii="Arial" w:cs="Arial" w:eastAsia="Arial" w:hAnsi="Arial"/>
          <w:sz w:val="22"/>
          <w:szCs w:val="22"/>
        </w:rPr>
        <w:t xml:space="preserve">A divorce financial settlement calculator can help you understand the value of a clean break and model whether an immediate clean break — or a fixed-term maintenance arrangement followed by a clean break — is the right approach for your circumstances.</w:t>
      </w:r>
    </w:p>
    <w:p>
      <w:pPr>
        <w:pStyle w:val="Heading2"/>
        <w:spacing w:before="300" w:after="140"/>
      </w:pPr>
      <w:r>
        <w:rPr>
          <w:rFonts w:ascii="Arial" w:cs="Arial" w:eastAsia="Arial" w:hAnsi="Arial"/>
          <w:b/>
          <w:bCs/>
          <w:color w:val="2563a8"/>
          <w:sz w:val="28"/>
          <w:szCs w:val="28"/>
        </w:rPr>
        <w:t xml:space="preserve">Remarriage: One Automatic Bar</w:t>
      </w:r>
    </w:p>
    <w:p>
      <w:pPr>
        <w:spacing w:before="80" w:after="80"/>
      </w:pPr>
      <w:r>
        <w:rPr>
          <w:rFonts w:ascii="Arial" w:cs="Arial" w:eastAsia="Arial" w:hAnsi="Arial"/>
          <w:sz w:val="22"/>
          <w:szCs w:val="22"/>
        </w:rPr>
        <w:t xml:space="preserve">There is one situation where financial claims are automatically extinguished: if the potential claimant remarries. Spousal maintenance orders automatically end on remarriage, and remarriage bars further capital claims. However, cohabitation does not automatically bar claims — though it is relevant to any maintenance calculation.</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There is no statutory time limit on financial claims after divorce in England and Wales</w:t>
      </w:r>
    </w:p>
    <w:p>
      <w:pPr>
        <w:pStyle w:val="ListParagraph"/>
        <w:numPr>
          <w:ilvl w:val="0"/>
          <w:numId w:val="2"/>
        </w:numPr>
        <w:spacing w:before="60" w:after="60"/>
      </w:pPr>
      <w:r>
        <w:rPr>
          <w:rFonts w:ascii="Arial" w:cs="Arial" w:eastAsia="Arial" w:hAnsi="Arial"/>
          <w:sz w:val="22"/>
          <w:szCs w:val="22"/>
        </w:rPr>
        <w:t xml:space="preserve">Claims can be made decades after divorce without a consent order — as Wyatt v Vince confirms</w:t>
      </w:r>
    </w:p>
    <w:p>
      <w:pPr>
        <w:pStyle w:val="ListParagraph"/>
        <w:numPr>
          <w:ilvl w:val="0"/>
          <w:numId w:val="2"/>
        </w:numPr>
        <w:spacing w:before="60" w:after="60"/>
      </w:pPr>
      <w:r>
        <w:rPr>
          <w:rFonts w:ascii="Arial" w:cs="Arial" w:eastAsia="Arial" w:hAnsi="Arial"/>
          <w:sz w:val="22"/>
          <w:szCs w:val="22"/>
        </w:rPr>
        <w:t xml:space="preserve">Delay reduces but does not eliminate the risk of a successful claim</w:t>
      </w:r>
    </w:p>
    <w:p>
      <w:pPr>
        <w:pStyle w:val="ListParagraph"/>
        <w:numPr>
          <w:ilvl w:val="0"/>
          <w:numId w:val="2"/>
        </w:numPr>
        <w:spacing w:before="60" w:after="60"/>
      </w:pPr>
      <w:r>
        <w:rPr>
          <w:rFonts w:ascii="Arial" w:cs="Arial" w:eastAsia="Arial" w:hAnsi="Arial"/>
          <w:sz w:val="22"/>
          <w:szCs w:val="22"/>
        </w:rPr>
        <w:t xml:space="preserve">Remarriage of the potential claimant is the only automatic bar to capital claims</w:t>
      </w:r>
    </w:p>
    <w:p>
      <w:pPr>
        <w:pStyle w:val="ListParagraph"/>
        <w:numPr>
          <w:ilvl w:val="0"/>
          <w:numId w:val="2"/>
        </w:numPr>
        <w:spacing w:before="60" w:after="60"/>
      </w:pPr>
      <w:r>
        <w:rPr>
          <w:rFonts w:ascii="Arial" w:cs="Arial" w:eastAsia="Arial" w:hAnsi="Arial"/>
          <w:sz w:val="22"/>
          <w:szCs w:val="22"/>
        </w:rPr>
        <w:t xml:space="preserve">A consent order with a clean break clause is the only reliable protection</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my ex claim my pension if we divorced years ago?</w:t>
      </w:r>
    </w:p>
    <w:p>
      <w:pPr>
        <w:spacing w:before="80" w:after="80"/>
      </w:pPr>
      <w:r>
        <w:rPr>
          <w:rFonts w:ascii="Arial" w:cs="Arial" w:eastAsia="Arial" w:hAnsi="Arial"/>
          <w:sz w:val="22"/>
          <w:szCs w:val="22"/>
        </w:rPr>
        <w:t xml:space="preserve">Without a consent order or clean break, yes — financial claims including pension claims remain open. A pension sharing order can be made at any time while both parties remain unmarried. This is a major risk of divorcing without addressing finances.</w:t>
      </w:r>
    </w:p>
    <w:p>
      <w:pPr>
        <w:spacing w:before="220" w:after="100"/>
      </w:pPr>
      <w:r>
        <w:rPr>
          <w:rFonts w:ascii="Arial" w:cs="Arial" w:eastAsia="Arial" w:hAnsi="Arial"/>
          <w:b/>
          <w:bCs/>
          <w:color w:val="1a3c5e"/>
          <w:sz w:val="24"/>
          <w:szCs w:val="24"/>
        </w:rPr>
        <w:t xml:space="preserve">What if we informally agreed not to claim against each other?</w:t>
      </w:r>
    </w:p>
    <w:p>
      <w:pPr>
        <w:spacing w:before="80" w:after="80"/>
      </w:pPr>
      <w:r>
        <w:rPr>
          <w:rFonts w:ascii="Arial" w:cs="Arial" w:eastAsia="Arial" w:hAnsi="Arial"/>
          <w:sz w:val="22"/>
          <w:szCs w:val="22"/>
        </w:rPr>
        <w:t xml:space="preserve">An informal agreement not to make financial claims is not legally binding in England and Wales. Only a court-approved consent order creates binding finality. This is a fundamental and commonly misunderstood point.</w:t>
      </w:r>
    </w:p>
    <w:p>
      <w:pPr>
        <w:spacing w:before="220" w:after="100"/>
      </w:pPr>
      <w:r>
        <w:rPr>
          <w:rFonts w:ascii="Arial" w:cs="Arial" w:eastAsia="Arial" w:hAnsi="Arial"/>
          <w:b/>
          <w:bCs/>
          <w:color w:val="1a3c5e"/>
          <w:sz w:val="24"/>
          <w:szCs w:val="24"/>
        </w:rPr>
        <w:t xml:space="preserve">Does divorce abroad protect me from claims in England?</w:t>
      </w:r>
    </w:p>
    <w:p>
      <w:pPr>
        <w:spacing w:before="80" w:after="80"/>
      </w:pPr>
      <w:r>
        <w:rPr>
          <w:rFonts w:ascii="Arial" w:cs="Arial" w:eastAsia="Arial" w:hAnsi="Arial"/>
          <w:sz w:val="22"/>
          <w:szCs w:val="22"/>
        </w:rPr>
        <w:t xml:space="preserve">Not necessarily. If either party is habitually resident in England or Wales, the English courts may have jurisdiction regardless of where the divorce was obtained. International cases are complex and require specialist legal advice.</w:t>
      </w:r>
    </w:p>
    <w:p>
      <w:pPr>
        <w:spacing w:before="220" w:after="100"/>
      </w:pPr>
      <w:r>
        <w:rPr>
          <w:rFonts w:ascii="Arial" w:cs="Arial" w:eastAsia="Arial" w:hAnsi="Arial"/>
          <w:b/>
          <w:bCs/>
          <w:color w:val="1a3c5e"/>
          <w:sz w:val="24"/>
          <w:szCs w:val="24"/>
        </w:rPr>
        <w:t xml:space="preserve">What if my ex has already remarried?</w:t>
      </w:r>
    </w:p>
    <w:p>
      <w:pPr>
        <w:spacing w:before="80" w:after="80"/>
      </w:pPr>
      <w:r>
        <w:rPr>
          <w:rFonts w:ascii="Arial" w:cs="Arial" w:eastAsia="Arial" w:hAnsi="Arial"/>
          <w:sz w:val="22"/>
          <w:szCs w:val="22"/>
        </w:rPr>
        <w:t xml:space="preserve">Remarriage bars the remarried party from making further capital claims as a consequence of the marriage that has ended. Spousal maintenance also ends. However, if they remarried after making a claim, the proceedings can still continue on some heads.</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20"/>
      <w:outlineLvl w:val="0"/>
    </w:pPr>
    <w:rPr>
      <w:rFonts w:ascii="Arial" w:cs="Arial" w:eastAsia="Arial" w:hAnsi="Arial"/>
      <w:b/>
      <w:bCs/>
      <w:color w:val="1a3c5e"/>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563a8"/>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2026-03-18T23:21:12.752Z</dcterms:created>
  <dcterms:modified xsi:type="dcterms:W3CDTF">2026-03-18T23:21:12.753Z</dcterms:modified>
</cp:coreProperties>
</file>

<file path=docProps/custom.xml><?xml version="1.0" encoding="utf-8"?>
<Properties xmlns="http://schemas.openxmlformats.org/officeDocument/2006/custom-properties" xmlns:vt="http://schemas.openxmlformats.org/officeDocument/2006/docPropsVTypes"/>
</file>